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6480" w:rsidRDefault="00703738">
      <w:pPr>
        <w:spacing w:after="60"/>
        <w:jc w:val="center"/>
        <w:rPr>
          <w:lang w:eastAsia="zh-CN"/>
        </w:rPr>
      </w:pPr>
      <w:r>
        <w:rPr>
          <w:rFonts w:hint="eastAsia"/>
          <w:b/>
          <w:color w:val="111827"/>
          <w:sz w:val="44"/>
          <w:lang w:eastAsia="zh-CN"/>
        </w:rPr>
        <w:t>迷你数论</w:t>
      </w:r>
      <w:r>
        <w:rPr>
          <w:b/>
          <w:color w:val="111827"/>
          <w:sz w:val="44"/>
          <w:lang w:eastAsia="zh-CN"/>
        </w:rPr>
        <w:t>学术</w:t>
      </w:r>
      <w:r>
        <w:rPr>
          <w:rFonts w:hint="eastAsia"/>
          <w:b/>
          <w:color w:val="111827"/>
          <w:sz w:val="44"/>
          <w:lang w:eastAsia="zh-CN"/>
        </w:rPr>
        <w:t>会议</w:t>
      </w:r>
      <w:r>
        <w:rPr>
          <w:b/>
          <w:color w:val="111827"/>
          <w:sz w:val="44"/>
          <w:lang w:eastAsia="zh-CN"/>
        </w:rPr>
        <w:t>日程</w:t>
      </w:r>
    </w:p>
    <w:p w:rsidR="005C6480" w:rsidRDefault="00703738">
      <w:pPr>
        <w:spacing w:after="240"/>
        <w:jc w:val="center"/>
        <w:rPr>
          <w:lang w:eastAsia="zh-CN"/>
        </w:rPr>
      </w:pPr>
      <w:r>
        <w:rPr>
          <w:color w:val="4B5563"/>
          <w:sz w:val="22"/>
          <w:lang w:eastAsia="zh-CN"/>
        </w:rPr>
        <w:t>地点：光华楼东主楼</w:t>
      </w:r>
      <w:r>
        <w:rPr>
          <w:color w:val="4B5563"/>
          <w:sz w:val="22"/>
          <w:lang w:eastAsia="zh-CN"/>
        </w:rPr>
        <w:t>1601</w:t>
      </w:r>
    </w:p>
    <w:tbl>
      <w:tblPr>
        <w:tblW w:w="0" w:type="auto"/>
        <w:jc w:val="center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  <w:tblLayout w:type="fixed"/>
        <w:tblLook w:val="04A0" w:firstRow="1" w:lastRow="0" w:firstColumn="1" w:lastColumn="0" w:noHBand="0" w:noVBand="1"/>
      </w:tblPr>
      <w:tblGrid>
        <w:gridCol w:w="1700"/>
        <w:gridCol w:w="7596"/>
      </w:tblGrid>
      <w:tr w:rsidR="005C6480">
        <w:trPr>
          <w:jc w:val="center"/>
        </w:trPr>
        <w:tc>
          <w:tcPr>
            <w:tcW w:w="1700" w:type="dxa"/>
            <w:shd w:val="clear" w:color="auto" w:fill="F3F4F6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  <w:jc w:val="center"/>
            </w:pPr>
            <w:proofErr w:type="spellStart"/>
            <w:r>
              <w:rPr>
                <w:b/>
                <w:color w:val="111827"/>
                <w:sz w:val="19"/>
              </w:rPr>
              <w:t>日期</w:t>
            </w:r>
            <w:proofErr w:type="spellEnd"/>
          </w:p>
        </w:tc>
        <w:tc>
          <w:tcPr>
            <w:tcW w:w="7596" w:type="dxa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 w:rsidP="00301CC1">
            <w:pPr>
              <w:spacing w:after="0"/>
            </w:pPr>
            <w:r>
              <w:rPr>
                <w:color w:val="111827"/>
                <w:sz w:val="19"/>
              </w:rPr>
              <w:t>6</w:t>
            </w:r>
            <w:r>
              <w:rPr>
                <w:rFonts w:ascii="宋体" w:eastAsia="宋体" w:hAnsi="宋体" w:cs="宋体" w:hint="eastAsia"/>
                <w:color w:val="111827"/>
                <w:sz w:val="19"/>
              </w:rPr>
              <w:t>月</w:t>
            </w:r>
            <w:r w:rsidR="00301CC1">
              <w:rPr>
                <w:color w:val="111827"/>
                <w:sz w:val="19"/>
              </w:rPr>
              <w:t>5</w:t>
            </w:r>
            <w:r>
              <w:rPr>
                <w:rFonts w:ascii="宋体" w:eastAsia="宋体" w:hAnsi="宋体" w:cs="宋体" w:hint="eastAsia"/>
                <w:color w:val="111827"/>
                <w:sz w:val="19"/>
              </w:rPr>
              <w:t>日</w:t>
            </w:r>
          </w:p>
        </w:tc>
      </w:tr>
      <w:tr w:rsidR="005C6480">
        <w:trPr>
          <w:jc w:val="center"/>
        </w:trPr>
        <w:tc>
          <w:tcPr>
            <w:tcW w:w="1700" w:type="dxa"/>
            <w:shd w:val="clear" w:color="auto" w:fill="F3F4F6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  <w:jc w:val="center"/>
            </w:pPr>
            <w:proofErr w:type="spellStart"/>
            <w:r>
              <w:rPr>
                <w:b/>
                <w:color w:val="111827"/>
                <w:sz w:val="19"/>
              </w:rPr>
              <w:t>地点</w:t>
            </w:r>
            <w:proofErr w:type="spellEnd"/>
          </w:p>
        </w:tc>
        <w:tc>
          <w:tcPr>
            <w:tcW w:w="7596" w:type="dxa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</w:pPr>
            <w:r>
              <w:rPr>
                <w:color w:val="111827"/>
                <w:sz w:val="19"/>
              </w:rPr>
              <w:t>光华楼东主楼</w:t>
            </w:r>
            <w:r>
              <w:rPr>
                <w:color w:val="111827"/>
                <w:sz w:val="19"/>
              </w:rPr>
              <w:t>1601</w:t>
            </w:r>
          </w:p>
        </w:tc>
      </w:tr>
    </w:tbl>
    <w:p w:rsidR="005C6480" w:rsidRDefault="00703738">
      <w:pPr>
        <w:spacing w:before="240" w:after="120"/>
      </w:pPr>
      <w:proofErr w:type="spellStart"/>
      <w:r>
        <w:rPr>
          <w:b/>
          <w:color w:val="111827"/>
          <w:sz w:val="28"/>
        </w:rPr>
        <w:t>日程安排</w:t>
      </w:r>
      <w:proofErr w:type="spellEnd"/>
    </w:p>
    <w:tbl>
      <w:tblPr>
        <w:tblW w:w="0" w:type="auto"/>
        <w:jc w:val="center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1218"/>
        <w:gridCol w:w="2352"/>
        <w:gridCol w:w="4081"/>
      </w:tblGrid>
      <w:tr w:rsidR="005C6480">
        <w:trPr>
          <w:jc w:val="center"/>
        </w:trPr>
        <w:tc>
          <w:tcPr>
            <w:tcW w:w="1984" w:type="dxa"/>
            <w:shd w:val="clear" w:color="auto" w:fill="1F2937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  <w:jc w:val="center"/>
            </w:pPr>
            <w:proofErr w:type="spellStart"/>
            <w:r>
              <w:rPr>
                <w:b/>
                <w:color w:val="FFFFFF"/>
                <w:sz w:val="19"/>
              </w:rPr>
              <w:t>时间</w:t>
            </w:r>
            <w:proofErr w:type="spellEnd"/>
          </w:p>
        </w:tc>
        <w:tc>
          <w:tcPr>
            <w:tcW w:w="1218" w:type="dxa"/>
            <w:shd w:val="clear" w:color="auto" w:fill="1F2937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  <w:jc w:val="center"/>
            </w:pPr>
            <w:proofErr w:type="spellStart"/>
            <w:r>
              <w:rPr>
                <w:b/>
                <w:color w:val="FFFFFF"/>
                <w:sz w:val="19"/>
              </w:rPr>
              <w:t>报告人</w:t>
            </w:r>
            <w:proofErr w:type="spellEnd"/>
          </w:p>
        </w:tc>
        <w:tc>
          <w:tcPr>
            <w:tcW w:w="2352" w:type="dxa"/>
            <w:shd w:val="clear" w:color="auto" w:fill="1F2937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  <w:jc w:val="center"/>
            </w:pPr>
            <w:proofErr w:type="spellStart"/>
            <w:r>
              <w:rPr>
                <w:b/>
                <w:color w:val="FFFFFF"/>
                <w:sz w:val="19"/>
              </w:rPr>
              <w:t>所属单位</w:t>
            </w:r>
            <w:proofErr w:type="spellEnd"/>
          </w:p>
        </w:tc>
        <w:tc>
          <w:tcPr>
            <w:tcW w:w="4081" w:type="dxa"/>
            <w:shd w:val="clear" w:color="auto" w:fill="1F2937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  <w:jc w:val="center"/>
            </w:pPr>
            <w:proofErr w:type="spellStart"/>
            <w:r>
              <w:rPr>
                <w:b/>
                <w:color w:val="FFFFFF"/>
                <w:sz w:val="19"/>
              </w:rPr>
              <w:t>题目</w:t>
            </w:r>
            <w:proofErr w:type="spellEnd"/>
          </w:p>
        </w:tc>
      </w:tr>
      <w:tr w:rsidR="005C6480">
        <w:trPr>
          <w:jc w:val="center"/>
        </w:trPr>
        <w:tc>
          <w:tcPr>
            <w:tcW w:w="1984" w:type="dxa"/>
            <w:shd w:val="clear" w:color="auto" w:fill="F9FAFB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 w:rsidP="003D2723">
            <w:pPr>
              <w:spacing w:after="0"/>
              <w:jc w:val="center"/>
            </w:pPr>
            <w:r>
              <w:rPr>
                <w:color w:val="111827"/>
                <w:sz w:val="17"/>
              </w:rPr>
              <w:t>6</w:t>
            </w:r>
            <w:r>
              <w:rPr>
                <w:rFonts w:ascii="宋体" w:eastAsia="宋体" w:hAnsi="宋体" w:cs="宋体" w:hint="eastAsia"/>
                <w:color w:val="111827"/>
                <w:sz w:val="17"/>
              </w:rPr>
              <w:t>月</w:t>
            </w:r>
            <w:r w:rsidR="003D2723">
              <w:rPr>
                <w:color w:val="111827"/>
                <w:sz w:val="17"/>
              </w:rPr>
              <w:t>5</w:t>
            </w:r>
            <w:r>
              <w:rPr>
                <w:rFonts w:ascii="宋体" w:eastAsia="宋体" w:hAnsi="宋体" w:cs="宋体" w:hint="eastAsia"/>
                <w:color w:val="111827"/>
                <w:sz w:val="17"/>
              </w:rPr>
              <w:t>日</w:t>
            </w:r>
            <w:r>
              <w:rPr>
                <w:color w:val="111827"/>
                <w:sz w:val="17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111827"/>
                <w:sz w:val="17"/>
              </w:rPr>
              <w:t>上午</w:t>
            </w:r>
            <w:r>
              <w:rPr>
                <w:rFonts w:hint="eastAsia"/>
                <w:color w:val="111827"/>
                <w:sz w:val="17"/>
                <w:lang w:eastAsia="zh-CN"/>
              </w:rPr>
              <w:t>10</w:t>
            </w:r>
            <w:r>
              <w:rPr>
                <w:color w:val="111827"/>
                <w:sz w:val="17"/>
              </w:rPr>
              <w:t>:</w:t>
            </w:r>
            <w:r>
              <w:rPr>
                <w:rFonts w:hint="eastAsia"/>
                <w:color w:val="111827"/>
                <w:sz w:val="17"/>
                <w:lang w:eastAsia="zh-CN"/>
              </w:rPr>
              <w:t>0</w:t>
            </w:r>
            <w:r>
              <w:rPr>
                <w:color w:val="111827"/>
                <w:sz w:val="17"/>
              </w:rPr>
              <w:t>0-</w:t>
            </w:r>
            <w:r>
              <w:rPr>
                <w:rFonts w:hint="eastAsia"/>
                <w:color w:val="111827"/>
                <w:sz w:val="17"/>
                <w:lang w:eastAsia="zh-CN"/>
              </w:rPr>
              <w:t>11</w:t>
            </w:r>
            <w:r>
              <w:rPr>
                <w:color w:val="111827"/>
                <w:sz w:val="17"/>
              </w:rPr>
              <w:t>:</w:t>
            </w:r>
            <w:r>
              <w:rPr>
                <w:rFonts w:hint="eastAsia"/>
                <w:color w:val="111827"/>
                <w:sz w:val="17"/>
                <w:lang w:eastAsia="zh-CN"/>
              </w:rPr>
              <w:t>0</w:t>
            </w:r>
            <w:r>
              <w:rPr>
                <w:color w:val="111827"/>
                <w:sz w:val="17"/>
              </w:rPr>
              <w:t>0</w:t>
            </w:r>
          </w:p>
        </w:tc>
        <w:tc>
          <w:tcPr>
            <w:tcW w:w="1218" w:type="dxa"/>
            <w:shd w:val="clear" w:color="auto" w:fill="F9FAFB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  <w:jc w:val="center"/>
            </w:pPr>
            <w:proofErr w:type="spellStart"/>
            <w:r>
              <w:rPr>
                <w:rFonts w:ascii="宋体" w:eastAsia="宋体" w:hAnsi="宋体" w:cs="宋体" w:hint="eastAsia"/>
                <w:b/>
                <w:color w:val="111827"/>
                <w:sz w:val="18"/>
              </w:rPr>
              <w:t>闵</w:t>
            </w:r>
            <w:r>
              <w:rPr>
                <w:b/>
                <w:color w:val="111827"/>
                <w:sz w:val="18"/>
              </w:rPr>
              <w:t>钰</w:t>
            </w:r>
            <w:proofErr w:type="spellEnd"/>
          </w:p>
        </w:tc>
        <w:tc>
          <w:tcPr>
            <w:tcW w:w="2352" w:type="dxa"/>
            <w:shd w:val="clear" w:color="auto" w:fill="F9FAFB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  <w:jc w:val="center"/>
            </w:pPr>
            <w:proofErr w:type="spellStart"/>
            <w:r>
              <w:rPr>
                <w:color w:val="111827"/>
                <w:sz w:val="17"/>
              </w:rPr>
              <w:t>香港科技大学</w:t>
            </w:r>
            <w:proofErr w:type="spellEnd"/>
          </w:p>
        </w:tc>
        <w:tc>
          <w:tcPr>
            <w:tcW w:w="4081" w:type="dxa"/>
            <w:shd w:val="clear" w:color="auto" w:fill="F9FAFB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</w:pPr>
            <w:proofErr w:type="spellStart"/>
            <w:r>
              <w:rPr>
                <w:color w:val="111827"/>
                <w:sz w:val="17"/>
              </w:rPr>
              <w:t>Congruences</w:t>
            </w:r>
            <w:proofErr w:type="spellEnd"/>
            <w:r>
              <w:rPr>
                <w:color w:val="111827"/>
                <w:sz w:val="17"/>
              </w:rPr>
              <w:t xml:space="preserve"> of </w:t>
            </w:r>
            <w:proofErr w:type="spellStart"/>
            <w:r>
              <w:rPr>
                <w:color w:val="111827"/>
                <w:sz w:val="17"/>
              </w:rPr>
              <w:t>syntomic</w:t>
            </w:r>
            <w:proofErr w:type="spellEnd"/>
            <w:r>
              <w:rPr>
                <w:color w:val="111827"/>
                <w:sz w:val="17"/>
              </w:rPr>
              <w:t xml:space="preserve"> </w:t>
            </w:r>
            <w:proofErr w:type="spellStart"/>
            <w:r>
              <w:rPr>
                <w:color w:val="111827"/>
                <w:sz w:val="17"/>
              </w:rPr>
              <w:t>cohomology</w:t>
            </w:r>
            <w:proofErr w:type="spellEnd"/>
          </w:p>
        </w:tc>
      </w:tr>
      <w:tr w:rsidR="005C6480">
        <w:trPr>
          <w:jc w:val="center"/>
        </w:trPr>
        <w:tc>
          <w:tcPr>
            <w:tcW w:w="1984" w:type="dxa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 w:rsidP="003D2723">
            <w:pPr>
              <w:spacing w:after="0"/>
              <w:jc w:val="center"/>
            </w:pPr>
            <w:r>
              <w:rPr>
                <w:color w:val="111827"/>
                <w:sz w:val="17"/>
              </w:rPr>
              <w:t>6</w:t>
            </w:r>
            <w:r>
              <w:rPr>
                <w:rFonts w:ascii="宋体" w:eastAsia="宋体" w:hAnsi="宋体" w:cs="宋体" w:hint="eastAsia"/>
                <w:color w:val="111827"/>
                <w:sz w:val="17"/>
              </w:rPr>
              <w:t>月</w:t>
            </w:r>
            <w:r w:rsidR="003D2723">
              <w:rPr>
                <w:color w:val="111827"/>
                <w:sz w:val="17"/>
              </w:rPr>
              <w:t>5</w:t>
            </w:r>
            <w:r>
              <w:rPr>
                <w:rFonts w:ascii="宋体" w:eastAsia="宋体" w:hAnsi="宋体" w:cs="宋体" w:hint="eastAsia"/>
                <w:color w:val="111827"/>
                <w:sz w:val="17"/>
              </w:rPr>
              <w:t>日</w:t>
            </w:r>
            <w:r>
              <w:rPr>
                <w:color w:val="111827"/>
                <w:sz w:val="17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111827"/>
                <w:sz w:val="17"/>
              </w:rPr>
              <w:t>上午</w:t>
            </w:r>
            <w:r>
              <w:rPr>
                <w:color w:val="111827"/>
                <w:sz w:val="17"/>
              </w:rPr>
              <w:t>1</w:t>
            </w:r>
            <w:r>
              <w:rPr>
                <w:rFonts w:hint="eastAsia"/>
                <w:color w:val="111827"/>
                <w:sz w:val="17"/>
                <w:lang w:eastAsia="zh-CN"/>
              </w:rPr>
              <w:t>1</w:t>
            </w:r>
            <w:r>
              <w:rPr>
                <w:color w:val="111827"/>
                <w:sz w:val="17"/>
              </w:rPr>
              <w:t>:</w:t>
            </w:r>
            <w:r>
              <w:rPr>
                <w:rFonts w:hint="eastAsia"/>
                <w:color w:val="111827"/>
                <w:sz w:val="17"/>
                <w:lang w:eastAsia="zh-CN"/>
              </w:rPr>
              <w:t>2</w:t>
            </w:r>
            <w:r>
              <w:rPr>
                <w:color w:val="111827"/>
                <w:sz w:val="17"/>
              </w:rPr>
              <w:t>0-1</w:t>
            </w:r>
            <w:r>
              <w:rPr>
                <w:rFonts w:hint="eastAsia"/>
                <w:color w:val="111827"/>
                <w:sz w:val="17"/>
                <w:lang w:eastAsia="zh-CN"/>
              </w:rPr>
              <w:t>2</w:t>
            </w:r>
            <w:r>
              <w:rPr>
                <w:color w:val="111827"/>
                <w:sz w:val="17"/>
              </w:rPr>
              <w:t>:</w:t>
            </w:r>
            <w:r>
              <w:rPr>
                <w:rFonts w:hint="eastAsia"/>
                <w:color w:val="111827"/>
                <w:sz w:val="17"/>
                <w:lang w:eastAsia="zh-CN"/>
              </w:rPr>
              <w:t>2</w:t>
            </w:r>
            <w:r>
              <w:rPr>
                <w:color w:val="111827"/>
                <w:sz w:val="17"/>
              </w:rPr>
              <w:t>0</w:t>
            </w:r>
          </w:p>
        </w:tc>
        <w:tc>
          <w:tcPr>
            <w:tcW w:w="1218" w:type="dxa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  <w:jc w:val="center"/>
            </w:pPr>
            <w:proofErr w:type="spellStart"/>
            <w:r>
              <w:rPr>
                <w:rFonts w:ascii="宋体" w:eastAsia="宋体" w:hAnsi="宋体" w:cs="宋体" w:hint="eastAsia"/>
                <w:b/>
                <w:color w:val="111827"/>
                <w:sz w:val="18"/>
              </w:rPr>
              <w:t>罗</w:t>
            </w:r>
            <w:r>
              <w:rPr>
                <w:b/>
                <w:color w:val="111827"/>
                <w:sz w:val="18"/>
              </w:rPr>
              <w:t>渝</w:t>
            </w:r>
            <w:proofErr w:type="spellEnd"/>
          </w:p>
        </w:tc>
        <w:tc>
          <w:tcPr>
            <w:tcW w:w="2352" w:type="dxa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  <w:jc w:val="center"/>
              <w:rPr>
                <w:lang w:eastAsia="zh-CN"/>
              </w:rPr>
            </w:pPr>
            <w:r>
              <w:rPr>
                <w:color w:val="111827"/>
                <w:sz w:val="17"/>
                <w:lang w:eastAsia="zh-CN"/>
              </w:rPr>
              <w:t>威斯康星大学麦迪逊分校</w:t>
            </w:r>
          </w:p>
        </w:tc>
        <w:tc>
          <w:tcPr>
            <w:tcW w:w="4081" w:type="dxa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</w:pPr>
            <w:r>
              <w:rPr>
                <w:color w:val="111827"/>
                <w:sz w:val="17"/>
              </w:rPr>
              <w:t xml:space="preserve">Arithmetic Siegel--Weil formula and </w:t>
            </w:r>
            <w:proofErr w:type="spellStart"/>
            <w:r>
              <w:rPr>
                <w:color w:val="111827"/>
                <w:sz w:val="17"/>
              </w:rPr>
              <w:t>Kudla</w:t>
            </w:r>
            <w:proofErr w:type="spellEnd"/>
            <w:r>
              <w:rPr>
                <w:color w:val="111827"/>
                <w:sz w:val="17"/>
              </w:rPr>
              <w:t>--</w:t>
            </w:r>
            <w:proofErr w:type="spellStart"/>
            <w:r>
              <w:rPr>
                <w:color w:val="111827"/>
                <w:sz w:val="17"/>
              </w:rPr>
              <w:t>Rapoport</w:t>
            </w:r>
            <w:proofErr w:type="spellEnd"/>
            <w:r>
              <w:rPr>
                <w:color w:val="111827"/>
                <w:sz w:val="17"/>
              </w:rPr>
              <w:t xml:space="preserve"> conjecture</w:t>
            </w:r>
          </w:p>
        </w:tc>
      </w:tr>
      <w:tr w:rsidR="005C6480">
        <w:trPr>
          <w:jc w:val="center"/>
        </w:trPr>
        <w:tc>
          <w:tcPr>
            <w:tcW w:w="1984" w:type="dxa"/>
            <w:shd w:val="clear" w:color="auto" w:fill="F9FAFB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 w:rsidP="003D2723">
            <w:pPr>
              <w:spacing w:after="0"/>
              <w:jc w:val="center"/>
            </w:pPr>
            <w:r>
              <w:rPr>
                <w:color w:val="111827"/>
                <w:sz w:val="17"/>
              </w:rPr>
              <w:t>6</w:t>
            </w:r>
            <w:r>
              <w:rPr>
                <w:rFonts w:ascii="宋体" w:eastAsia="宋体" w:hAnsi="宋体" w:cs="宋体" w:hint="eastAsia"/>
                <w:color w:val="111827"/>
                <w:sz w:val="17"/>
              </w:rPr>
              <w:t>月</w:t>
            </w:r>
            <w:r w:rsidR="003D2723">
              <w:rPr>
                <w:color w:val="111827"/>
                <w:sz w:val="17"/>
              </w:rPr>
              <w:t>5</w:t>
            </w:r>
            <w:r>
              <w:rPr>
                <w:rFonts w:ascii="宋体" w:eastAsia="宋体" w:hAnsi="宋体" w:cs="宋体" w:hint="eastAsia"/>
                <w:color w:val="111827"/>
                <w:sz w:val="17"/>
              </w:rPr>
              <w:t>日</w:t>
            </w:r>
            <w:r>
              <w:rPr>
                <w:color w:val="111827"/>
                <w:sz w:val="17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111827"/>
                <w:sz w:val="17"/>
              </w:rPr>
              <w:t>下午</w:t>
            </w:r>
            <w:r>
              <w:rPr>
                <w:rFonts w:hint="eastAsia"/>
                <w:color w:val="111827"/>
                <w:sz w:val="17"/>
                <w:lang w:eastAsia="zh-CN"/>
              </w:rPr>
              <w:t>2</w:t>
            </w:r>
            <w:r>
              <w:rPr>
                <w:color w:val="111827"/>
                <w:sz w:val="17"/>
              </w:rPr>
              <w:t>:</w:t>
            </w:r>
            <w:r>
              <w:rPr>
                <w:rFonts w:hint="eastAsia"/>
                <w:color w:val="111827"/>
                <w:sz w:val="17"/>
                <w:lang w:eastAsia="zh-CN"/>
              </w:rPr>
              <w:t>3</w:t>
            </w:r>
            <w:r>
              <w:rPr>
                <w:color w:val="111827"/>
                <w:sz w:val="17"/>
              </w:rPr>
              <w:t>0-</w:t>
            </w:r>
            <w:r>
              <w:rPr>
                <w:rFonts w:hint="eastAsia"/>
                <w:color w:val="111827"/>
                <w:sz w:val="17"/>
                <w:lang w:eastAsia="zh-CN"/>
              </w:rPr>
              <w:t>3</w:t>
            </w:r>
            <w:r>
              <w:rPr>
                <w:color w:val="111827"/>
                <w:sz w:val="17"/>
              </w:rPr>
              <w:t>:</w:t>
            </w:r>
            <w:r>
              <w:rPr>
                <w:rFonts w:hint="eastAsia"/>
                <w:color w:val="111827"/>
                <w:sz w:val="17"/>
                <w:lang w:eastAsia="zh-CN"/>
              </w:rPr>
              <w:t>3</w:t>
            </w:r>
            <w:r>
              <w:rPr>
                <w:color w:val="111827"/>
                <w:sz w:val="17"/>
              </w:rPr>
              <w:t>0</w:t>
            </w:r>
          </w:p>
        </w:tc>
        <w:tc>
          <w:tcPr>
            <w:tcW w:w="1218" w:type="dxa"/>
            <w:shd w:val="clear" w:color="auto" w:fill="F9FAFB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  <w:jc w:val="center"/>
            </w:pPr>
            <w:proofErr w:type="spellStart"/>
            <w:r>
              <w:rPr>
                <w:rFonts w:ascii="宋体" w:eastAsia="宋体" w:hAnsi="宋体" w:cs="宋体" w:hint="eastAsia"/>
                <w:b/>
                <w:color w:val="111827"/>
                <w:sz w:val="18"/>
              </w:rPr>
              <w:t>白</w:t>
            </w:r>
            <w:r>
              <w:rPr>
                <w:b/>
                <w:color w:val="111827"/>
                <w:sz w:val="18"/>
              </w:rPr>
              <w:t>瑞祺</w:t>
            </w:r>
            <w:proofErr w:type="spellEnd"/>
          </w:p>
        </w:tc>
        <w:tc>
          <w:tcPr>
            <w:tcW w:w="2352" w:type="dxa"/>
            <w:shd w:val="clear" w:color="auto" w:fill="F9FAFB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  <w:jc w:val="center"/>
              <w:rPr>
                <w:lang w:eastAsia="zh-CN"/>
              </w:rPr>
            </w:pPr>
            <w:r>
              <w:rPr>
                <w:color w:val="111827"/>
                <w:sz w:val="17"/>
                <w:lang w:eastAsia="zh-CN"/>
              </w:rPr>
              <w:t>中国科学院晨兴数学中心</w:t>
            </w:r>
          </w:p>
        </w:tc>
        <w:tc>
          <w:tcPr>
            <w:tcW w:w="4081" w:type="dxa"/>
            <w:shd w:val="clear" w:color="auto" w:fill="F9FAFB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</w:pPr>
            <w:r>
              <w:rPr>
                <w:color w:val="111827"/>
                <w:sz w:val="17"/>
              </w:rPr>
              <w:t>Arithmetic level-raising for U(2r,1) via higher Chow cycles</w:t>
            </w:r>
          </w:p>
        </w:tc>
      </w:tr>
      <w:tr w:rsidR="005C6480">
        <w:trPr>
          <w:jc w:val="center"/>
        </w:trPr>
        <w:tc>
          <w:tcPr>
            <w:tcW w:w="1984" w:type="dxa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 w:rsidP="003D2723">
            <w:pPr>
              <w:spacing w:after="0"/>
              <w:jc w:val="center"/>
            </w:pPr>
            <w:r>
              <w:rPr>
                <w:color w:val="111827"/>
                <w:sz w:val="17"/>
              </w:rPr>
              <w:t>6</w:t>
            </w:r>
            <w:r>
              <w:rPr>
                <w:rFonts w:ascii="宋体" w:eastAsia="宋体" w:hAnsi="宋体" w:cs="宋体" w:hint="eastAsia"/>
                <w:color w:val="111827"/>
                <w:sz w:val="17"/>
              </w:rPr>
              <w:t>月</w:t>
            </w:r>
            <w:r w:rsidR="003D2723">
              <w:rPr>
                <w:color w:val="111827"/>
                <w:sz w:val="17"/>
              </w:rPr>
              <w:t>5</w:t>
            </w:r>
            <w:r>
              <w:rPr>
                <w:rFonts w:ascii="宋体" w:eastAsia="宋体" w:hAnsi="宋体" w:cs="宋体" w:hint="eastAsia"/>
                <w:color w:val="111827"/>
                <w:sz w:val="17"/>
              </w:rPr>
              <w:t>日</w:t>
            </w:r>
            <w:r>
              <w:rPr>
                <w:color w:val="111827"/>
                <w:sz w:val="17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111827"/>
                <w:sz w:val="17"/>
              </w:rPr>
              <w:t>下午</w:t>
            </w:r>
            <w:r>
              <w:rPr>
                <w:rFonts w:hint="eastAsia"/>
                <w:color w:val="111827"/>
                <w:sz w:val="17"/>
                <w:lang w:eastAsia="zh-CN"/>
              </w:rPr>
              <w:t>4</w:t>
            </w:r>
            <w:r>
              <w:rPr>
                <w:color w:val="111827"/>
                <w:sz w:val="17"/>
              </w:rPr>
              <w:t>:</w:t>
            </w:r>
            <w:r>
              <w:rPr>
                <w:rFonts w:hint="eastAsia"/>
                <w:color w:val="111827"/>
                <w:sz w:val="17"/>
                <w:lang w:eastAsia="zh-CN"/>
              </w:rPr>
              <w:t>0</w:t>
            </w:r>
            <w:r>
              <w:rPr>
                <w:color w:val="111827"/>
                <w:sz w:val="17"/>
              </w:rPr>
              <w:t>0-</w:t>
            </w:r>
            <w:r>
              <w:rPr>
                <w:rFonts w:hint="eastAsia"/>
                <w:color w:val="111827"/>
                <w:sz w:val="17"/>
                <w:lang w:eastAsia="zh-CN"/>
              </w:rPr>
              <w:t>5</w:t>
            </w:r>
            <w:r>
              <w:rPr>
                <w:color w:val="111827"/>
                <w:sz w:val="17"/>
              </w:rPr>
              <w:t>:</w:t>
            </w:r>
            <w:r>
              <w:rPr>
                <w:rFonts w:hint="eastAsia"/>
                <w:color w:val="111827"/>
                <w:sz w:val="17"/>
                <w:lang w:eastAsia="zh-CN"/>
              </w:rPr>
              <w:t>0</w:t>
            </w:r>
            <w:r>
              <w:rPr>
                <w:color w:val="111827"/>
                <w:sz w:val="17"/>
              </w:rPr>
              <w:t>0</w:t>
            </w:r>
          </w:p>
        </w:tc>
        <w:tc>
          <w:tcPr>
            <w:tcW w:w="1218" w:type="dxa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  <w:jc w:val="center"/>
            </w:pPr>
            <w:r>
              <w:rPr>
                <w:b/>
                <w:color w:val="111827"/>
                <w:sz w:val="18"/>
              </w:rPr>
              <w:t>S</w:t>
            </w:r>
            <w:r>
              <w:rPr>
                <w:b/>
                <w:color w:val="111827"/>
                <w:sz w:val="18"/>
              </w:rPr>
              <w:t>ean Zhu</w:t>
            </w:r>
          </w:p>
        </w:tc>
        <w:tc>
          <w:tcPr>
            <w:tcW w:w="2352" w:type="dxa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  <w:jc w:val="center"/>
            </w:pPr>
            <w:proofErr w:type="spellStart"/>
            <w:r>
              <w:rPr>
                <w:color w:val="111827"/>
                <w:sz w:val="17"/>
              </w:rPr>
              <w:t>亚利桑那大学</w:t>
            </w:r>
            <w:proofErr w:type="spellEnd"/>
          </w:p>
        </w:tc>
        <w:tc>
          <w:tcPr>
            <w:tcW w:w="4081" w:type="dxa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:rsidR="005C6480" w:rsidRDefault="00703738">
            <w:pPr>
              <w:spacing w:after="0"/>
            </w:pPr>
            <w:r>
              <w:rPr>
                <w:color w:val="111827"/>
                <w:sz w:val="17"/>
              </w:rPr>
              <w:t xml:space="preserve">Symmetric Power L-functions for Lower Deformation Families of </w:t>
            </w:r>
            <w:proofErr w:type="spellStart"/>
            <w:r>
              <w:rPr>
                <w:color w:val="111827"/>
                <w:sz w:val="17"/>
              </w:rPr>
              <w:t>Toric</w:t>
            </w:r>
            <w:proofErr w:type="spellEnd"/>
            <w:r>
              <w:rPr>
                <w:color w:val="111827"/>
                <w:sz w:val="17"/>
              </w:rPr>
              <w:t xml:space="preserve"> Exponential Sums</w:t>
            </w:r>
          </w:p>
        </w:tc>
      </w:tr>
    </w:tbl>
    <w:p w:rsidR="005C6480" w:rsidRDefault="00703738">
      <w:pPr>
        <w:spacing w:before="240" w:after="120"/>
        <w:rPr>
          <w:lang w:eastAsia="zh-CN"/>
        </w:rPr>
      </w:pPr>
      <w:r>
        <w:rPr>
          <w:b/>
          <w:color w:val="111827"/>
          <w:sz w:val="28"/>
          <w:lang w:eastAsia="zh-CN"/>
        </w:rPr>
        <w:t>报告摘要</w:t>
      </w:r>
    </w:p>
    <w:p w:rsidR="005C6480" w:rsidRDefault="00703738">
      <w:pPr>
        <w:keepNext/>
        <w:spacing w:before="160" w:after="40"/>
        <w:rPr>
          <w:lang w:eastAsia="zh-CN"/>
        </w:rPr>
      </w:pPr>
      <w:r>
        <w:rPr>
          <w:b/>
          <w:color w:val="111827"/>
          <w:sz w:val="25"/>
          <w:lang w:eastAsia="zh-CN"/>
        </w:rPr>
        <w:t xml:space="preserve">1. </w:t>
      </w:r>
      <w:r>
        <w:rPr>
          <w:b/>
          <w:color w:val="111827"/>
          <w:sz w:val="25"/>
          <w:lang w:eastAsia="zh-CN"/>
        </w:rPr>
        <w:t>闵钰</w:t>
      </w:r>
      <w:r>
        <w:rPr>
          <w:color w:val="4B5563"/>
          <w:lang w:eastAsia="zh-CN"/>
        </w:rPr>
        <w:t xml:space="preserve"> | 6</w:t>
      </w:r>
      <w:r>
        <w:rPr>
          <w:color w:val="4B5563"/>
          <w:lang w:eastAsia="zh-CN"/>
        </w:rPr>
        <w:t>月</w:t>
      </w:r>
      <w:r w:rsidR="003D2723">
        <w:rPr>
          <w:color w:val="4B5563"/>
          <w:lang w:eastAsia="zh-CN"/>
        </w:rPr>
        <w:t>5</w:t>
      </w:r>
      <w:r>
        <w:rPr>
          <w:color w:val="4B5563"/>
          <w:lang w:eastAsia="zh-CN"/>
        </w:rPr>
        <w:t>日</w:t>
      </w:r>
      <w:r>
        <w:rPr>
          <w:color w:val="4B5563"/>
          <w:lang w:eastAsia="zh-CN"/>
        </w:rPr>
        <w:t xml:space="preserve"> </w:t>
      </w:r>
      <w:r>
        <w:rPr>
          <w:color w:val="4B5563"/>
          <w:lang w:eastAsia="zh-CN"/>
        </w:rPr>
        <w:t>上午</w:t>
      </w:r>
      <w:r>
        <w:rPr>
          <w:rFonts w:hint="eastAsia"/>
          <w:color w:val="4B5563"/>
          <w:lang w:eastAsia="zh-CN"/>
        </w:rPr>
        <w:t>10</w:t>
      </w:r>
      <w:r>
        <w:rPr>
          <w:color w:val="4B5563"/>
          <w:lang w:eastAsia="zh-CN"/>
        </w:rPr>
        <w:t>:</w:t>
      </w:r>
      <w:r>
        <w:rPr>
          <w:rFonts w:hint="eastAsia"/>
          <w:color w:val="4B5563"/>
          <w:lang w:eastAsia="zh-CN"/>
        </w:rPr>
        <w:t>0</w:t>
      </w:r>
      <w:r>
        <w:rPr>
          <w:color w:val="4B5563"/>
          <w:lang w:eastAsia="zh-CN"/>
        </w:rPr>
        <w:t>0-</w:t>
      </w:r>
      <w:r>
        <w:rPr>
          <w:rFonts w:hint="eastAsia"/>
          <w:color w:val="4B5563"/>
          <w:lang w:eastAsia="zh-CN"/>
        </w:rPr>
        <w:t>11</w:t>
      </w:r>
      <w:r>
        <w:rPr>
          <w:color w:val="4B5563"/>
          <w:lang w:eastAsia="zh-CN"/>
        </w:rPr>
        <w:t>:</w:t>
      </w:r>
      <w:r>
        <w:rPr>
          <w:rFonts w:hint="eastAsia"/>
          <w:color w:val="4B5563"/>
          <w:lang w:eastAsia="zh-CN"/>
        </w:rPr>
        <w:t>0</w:t>
      </w:r>
      <w:r>
        <w:rPr>
          <w:color w:val="4B5563"/>
          <w:lang w:eastAsia="zh-CN"/>
        </w:rPr>
        <w:t>0</w:t>
      </w:r>
    </w:p>
    <w:p w:rsidR="005C6480" w:rsidRDefault="00703738">
      <w:pPr>
        <w:spacing w:after="60"/>
      </w:pPr>
      <w:proofErr w:type="spellStart"/>
      <w:r>
        <w:rPr>
          <w:b/>
          <w:color w:val="374151"/>
        </w:rPr>
        <w:t>所属单位：</w:t>
      </w:r>
      <w:r>
        <w:rPr>
          <w:color w:val="111827"/>
        </w:rPr>
        <w:t>香港科技大学数学系</w:t>
      </w:r>
      <w:proofErr w:type="spellEnd"/>
      <w:r>
        <w:rPr>
          <w:color w:val="111827"/>
        </w:rPr>
        <w:t xml:space="preserve"> (Department of </w:t>
      </w:r>
      <w:r>
        <w:rPr>
          <w:color w:val="111827"/>
        </w:rPr>
        <w:t>Mathematics, HKUST)</w:t>
      </w:r>
    </w:p>
    <w:p w:rsidR="005C6480" w:rsidRDefault="00703738">
      <w:pPr>
        <w:spacing w:after="60"/>
      </w:pPr>
      <w:r>
        <w:rPr>
          <w:b/>
          <w:color w:val="374151"/>
        </w:rPr>
        <w:t xml:space="preserve">Title: </w:t>
      </w:r>
      <w:proofErr w:type="spellStart"/>
      <w:r>
        <w:rPr>
          <w:color w:val="111827"/>
        </w:rPr>
        <w:t>Congruences</w:t>
      </w:r>
      <w:proofErr w:type="spellEnd"/>
      <w:r>
        <w:rPr>
          <w:color w:val="111827"/>
        </w:rPr>
        <w:t xml:space="preserve"> of </w:t>
      </w:r>
      <w:proofErr w:type="spellStart"/>
      <w:r>
        <w:rPr>
          <w:color w:val="111827"/>
        </w:rPr>
        <w:t>syntomic</w:t>
      </w:r>
      <w:proofErr w:type="spellEnd"/>
      <w:r>
        <w:rPr>
          <w:color w:val="111827"/>
        </w:rPr>
        <w:t xml:space="preserve"> </w:t>
      </w:r>
      <w:proofErr w:type="spellStart"/>
      <w:r>
        <w:rPr>
          <w:color w:val="111827"/>
        </w:rPr>
        <w:t>cohomology</w:t>
      </w:r>
      <w:proofErr w:type="spellEnd"/>
    </w:p>
    <w:p w:rsidR="005C6480" w:rsidRDefault="00703738">
      <w:pPr>
        <w:spacing w:after="40"/>
      </w:pPr>
      <w:r>
        <w:rPr>
          <w:b/>
          <w:color w:val="374151"/>
        </w:rPr>
        <w:t>Abstract:</w:t>
      </w:r>
    </w:p>
    <w:p w:rsidR="005C6480" w:rsidRDefault="00703738">
      <w:pPr>
        <w:spacing w:line="259" w:lineRule="auto"/>
        <w:jc w:val="both"/>
      </w:pPr>
      <w:r>
        <w:rPr>
          <w:color w:val="111827"/>
          <w:sz w:val="19"/>
        </w:rPr>
        <w:t xml:space="preserve">Let K be a finite extension of </w:t>
      </w:r>
      <w:proofErr w:type="spellStart"/>
      <w:r>
        <w:rPr>
          <w:color w:val="111827"/>
          <w:sz w:val="19"/>
        </w:rPr>
        <w:t>Q_p</w:t>
      </w:r>
      <w:proofErr w:type="spellEnd"/>
      <w:r>
        <w:rPr>
          <w:color w:val="111827"/>
          <w:sz w:val="19"/>
        </w:rPr>
        <w:t xml:space="preserve"> and G_K be its absolute Galois group. Given two crystalline </w:t>
      </w:r>
      <w:proofErr w:type="spellStart"/>
      <w:r>
        <w:rPr>
          <w:color w:val="111827"/>
          <w:sz w:val="19"/>
        </w:rPr>
        <w:t>Z_p</w:t>
      </w:r>
      <w:proofErr w:type="spellEnd"/>
      <w:r>
        <w:rPr>
          <w:color w:val="111827"/>
          <w:sz w:val="19"/>
        </w:rPr>
        <w:t xml:space="preserve"> representations of G_K, we are interested in the relation between </w:t>
      </w:r>
      <w:proofErr w:type="spellStart"/>
      <w:r>
        <w:rPr>
          <w:color w:val="111827"/>
          <w:sz w:val="19"/>
        </w:rPr>
        <w:t>congruences</w:t>
      </w:r>
      <w:proofErr w:type="spellEnd"/>
      <w:r>
        <w:rPr>
          <w:color w:val="111827"/>
          <w:sz w:val="19"/>
        </w:rPr>
        <w:t xml:space="preserve"> of the </w:t>
      </w:r>
      <w:r>
        <w:rPr>
          <w:color w:val="111827"/>
          <w:sz w:val="19"/>
        </w:rPr>
        <w:t xml:space="preserve">two representations and </w:t>
      </w:r>
      <w:proofErr w:type="spellStart"/>
      <w:r>
        <w:rPr>
          <w:color w:val="111827"/>
          <w:sz w:val="19"/>
        </w:rPr>
        <w:t>congruences</w:t>
      </w:r>
      <w:proofErr w:type="spellEnd"/>
      <w:r>
        <w:rPr>
          <w:color w:val="111827"/>
          <w:sz w:val="19"/>
        </w:rPr>
        <w:t xml:space="preserve"> of their Bloch-Kato Selmer groups. But mod </w:t>
      </w:r>
      <w:proofErr w:type="spellStart"/>
      <w:r>
        <w:rPr>
          <w:color w:val="111827"/>
          <w:sz w:val="19"/>
        </w:rPr>
        <w:t>p^n</w:t>
      </w:r>
      <w:proofErr w:type="spellEnd"/>
      <w:r>
        <w:rPr>
          <w:color w:val="111827"/>
          <w:sz w:val="19"/>
        </w:rPr>
        <w:t xml:space="preserve"> reductions of representations do not contain enough information in general. In this talk, we will consider the mod </w:t>
      </w:r>
      <w:proofErr w:type="spellStart"/>
      <w:r>
        <w:rPr>
          <w:color w:val="111827"/>
          <w:sz w:val="19"/>
        </w:rPr>
        <w:t>p^n</w:t>
      </w:r>
      <w:proofErr w:type="spellEnd"/>
      <w:r>
        <w:rPr>
          <w:color w:val="111827"/>
          <w:sz w:val="19"/>
        </w:rPr>
        <w:t xml:space="preserve"> reductions of the prismatic F-gauges attached to these</w:t>
      </w:r>
      <w:r>
        <w:rPr>
          <w:color w:val="111827"/>
          <w:sz w:val="19"/>
        </w:rPr>
        <w:t xml:space="preserve"> crystalline representations and explain how these reductions might determine the reductions of their first </w:t>
      </w:r>
      <w:proofErr w:type="spellStart"/>
      <w:r>
        <w:rPr>
          <w:color w:val="111827"/>
          <w:sz w:val="19"/>
        </w:rPr>
        <w:t>syntomic</w:t>
      </w:r>
      <w:proofErr w:type="spellEnd"/>
      <w:r>
        <w:rPr>
          <w:color w:val="111827"/>
          <w:sz w:val="19"/>
        </w:rPr>
        <w:t xml:space="preserve"> </w:t>
      </w:r>
      <w:proofErr w:type="spellStart"/>
      <w:r>
        <w:rPr>
          <w:color w:val="111827"/>
          <w:sz w:val="19"/>
        </w:rPr>
        <w:t>cohomology</w:t>
      </w:r>
      <w:proofErr w:type="spellEnd"/>
      <w:r>
        <w:rPr>
          <w:color w:val="111827"/>
          <w:sz w:val="19"/>
        </w:rPr>
        <w:t xml:space="preserve"> groups, which can be regarded as refinement of local Bloch-Kato Selmer groups.</w:t>
      </w:r>
    </w:p>
    <w:p w:rsidR="005C6480" w:rsidRDefault="00703738">
      <w:pPr>
        <w:keepNext/>
        <w:spacing w:before="200" w:after="40"/>
      </w:pPr>
      <w:r>
        <w:rPr>
          <w:b/>
          <w:color w:val="111827"/>
          <w:sz w:val="25"/>
        </w:rPr>
        <w:t xml:space="preserve">2. </w:t>
      </w:r>
      <w:proofErr w:type="spellStart"/>
      <w:r>
        <w:rPr>
          <w:b/>
          <w:color w:val="111827"/>
          <w:sz w:val="25"/>
        </w:rPr>
        <w:t>罗渝</w:t>
      </w:r>
      <w:proofErr w:type="spellEnd"/>
      <w:r>
        <w:rPr>
          <w:color w:val="4B5563"/>
        </w:rPr>
        <w:t xml:space="preserve"> | 6</w:t>
      </w:r>
      <w:r>
        <w:rPr>
          <w:color w:val="4B5563"/>
        </w:rPr>
        <w:t>月</w:t>
      </w:r>
      <w:r w:rsidR="003D2723">
        <w:rPr>
          <w:color w:val="4B5563"/>
        </w:rPr>
        <w:t>5</w:t>
      </w:r>
      <w:r>
        <w:rPr>
          <w:color w:val="4B5563"/>
        </w:rPr>
        <w:t>日</w:t>
      </w:r>
      <w:r>
        <w:rPr>
          <w:color w:val="4B5563"/>
        </w:rPr>
        <w:t xml:space="preserve"> </w:t>
      </w:r>
      <w:r>
        <w:rPr>
          <w:color w:val="4B5563"/>
        </w:rPr>
        <w:t>上午</w:t>
      </w:r>
      <w:r>
        <w:rPr>
          <w:color w:val="4B5563"/>
        </w:rPr>
        <w:t>1</w:t>
      </w:r>
      <w:r>
        <w:rPr>
          <w:rFonts w:hint="eastAsia"/>
          <w:color w:val="4B5563"/>
          <w:lang w:eastAsia="zh-CN"/>
        </w:rPr>
        <w:t>1</w:t>
      </w:r>
      <w:r>
        <w:rPr>
          <w:color w:val="4B5563"/>
        </w:rPr>
        <w:t>:</w:t>
      </w:r>
      <w:r>
        <w:rPr>
          <w:rFonts w:hint="eastAsia"/>
          <w:color w:val="4B5563"/>
          <w:lang w:eastAsia="zh-CN"/>
        </w:rPr>
        <w:t>2</w:t>
      </w:r>
      <w:r>
        <w:rPr>
          <w:color w:val="4B5563"/>
        </w:rPr>
        <w:t>0-1</w:t>
      </w:r>
      <w:r>
        <w:rPr>
          <w:rFonts w:hint="eastAsia"/>
          <w:color w:val="4B5563"/>
          <w:lang w:eastAsia="zh-CN"/>
        </w:rPr>
        <w:t>2</w:t>
      </w:r>
      <w:r>
        <w:rPr>
          <w:color w:val="4B5563"/>
        </w:rPr>
        <w:t>:</w:t>
      </w:r>
      <w:r>
        <w:rPr>
          <w:rFonts w:hint="eastAsia"/>
          <w:color w:val="4B5563"/>
          <w:lang w:eastAsia="zh-CN"/>
        </w:rPr>
        <w:t>2</w:t>
      </w:r>
      <w:r>
        <w:rPr>
          <w:color w:val="4B5563"/>
        </w:rPr>
        <w:t>0</w:t>
      </w:r>
    </w:p>
    <w:p w:rsidR="005C6480" w:rsidRDefault="00703738">
      <w:pPr>
        <w:spacing w:after="60"/>
      </w:pPr>
      <w:proofErr w:type="spellStart"/>
      <w:r>
        <w:rPr>
          <w:b/>
          <w:color w:val="374151"/>
        </w:rPr>
        <w:t>所属单位：</w:t>
      </w:r>
      <w:r>
        <w:rPr>
          <w:color w:val="111827"/>
        </w:rPr>
        <w:t>威斯康星大学麦迪逊分校数学系</w:t>
      </w:r>
      <w:proofErr w:type="spellEnd"/>
      <w:r>
        <w:rPr>
          <w:color w:val="111827"/>
        </w:rPr>
        <w:t xml:space="preserve"> (D</w:t>
      </w:r>
      <w:r>
        <w:rPr>
          <w:color w:val="111827"/>
        </w:rPr>
        <w:t>epartment of Mathematics, University of Wisconsin-Madison)</w:t>
      </w:r>
    </w:p>
    <w:p w:rsidR="005C6480" w:rsidRDefault="00703738">
      <w:pPr>
        <w:spacing w:after="60"/>
      </w:pPr>
      <w:r>
        <w:rPr>
          <w:b/>
          <w:color w:val="374151"/>
        </w:rPr>
        <w:t xml:space="preserve">Title: </w:t>
      </w:r>
      <w:r>
        <w:rPr>
          <w:color w:val="111827"/>
        </w:rPr>
        <w:t xml:space="preserve">Arithmetic Siegel--Weil formula and </w:t>
      </w:r>
      <w:proofErr w:type="spellStart"/>
      <w:r>
        <w:rPr>
          <w:color w:val="111827"/>
        </w:rPr>
        <w:t>Kudla</w:t>
      </w:r>
      <w:proofErr w:type="spellEnd"/>
      <w:r>
        <w:rPr>
          <w:color w:val="111827"/>
        </w:rPr>
        <w:t>--</w:t>
      </w:r>
      <w:proofErr w:type="spellStart"/>
      <w:r>
        <w:rPr>
          <w:color w:val="111827"/>
        </w:rPr>
        <w:t>Rapoport</w:t>
      </w:r>
      <w:proofErr w:type="spellEnd"/>
      <w:r>
        <w:rPr>
          <w:color w:val="111827"/>
        </w:rPr>
        <w:t xml:space="preserve"> conjecture</w:t>
      </w:r>
    </w:p>
    <w:p w:rsidR="005C6480" w:rsidRDefault="00703738">
      <w:pPr>
        <w:spacing w:after="40"/>
      </w:pPr>
      <w:r>
        <w:rPr>
          <w:b/>
          <w:color w:val="374151"/>
        </w:rPr>
        <w:t>Abstract:</w:t>
      </w:r>
    </w:p>
    <w:p w:rsidR="005C6480" w:rsidRDefault="00703738">
      <w:pPr>
        <w:spacing w:line="259" w:lineRule="auto"/>
        <w:jc w:val="both"/>
      </w:pPr>
      <w:proofErr w:type="spellStart"/>
      <w:r>
        <w:rPr>
          <w:color w:val="111827"/>
          <w:sz w:val="19"/>
        </w:rPr>
        <w:t>Kudla</w:t>
      </w:r>
      <w:proofErr w:type="spellEnd"/>
      <w:r>
        <w:rPr>
          <w:color w:val="111827"/>
          <w:sz w:val="19"/>
        </w:rPr>
        <w:t>--</w:t>
      </w:r>
      <w:proofErr w:type="spellStart"/>
      <w:r>
        <w:rPr>
          <w:color w:val="111827"/>
          <w:sz w:val="19"/>
        </w:rPr>
        <w:t>Rapoport</w:t>
      </w:r>
      <w:proofErr w:type="spellEnd"/>
      <w:r>
        <w:rPr>
          <w:color w:val="111827"/>
          <w:sz w:val="19"/>
        </w:rPr>
        <w:t xml:space="preserve"> conjecture predicts a precise identity between the arithmetic intersection number of special cycles o</w:t>
      </w:r>
      <w:r>
        <w:rPr>
          <w:color w:val="111827"/>
          <w:sz w:val="19"/>
        </w:rPr>
        <w:t xml:space="preserve">n unitary </w:t>
      </w:r>
      <w:proofErr w:type="spellStart"/>
      <w:r>
        <w:rPr>
          <w:color w:val="111827"/>
          <w:sz w:val="19"/>
        </w:rPr>
        <w:t>Rapoport</w:t>
      </w:r>
      <w:proofErr w:type="spellEnd"/>
      <w:r>
        <w:rPr>
          <w:color w:val="111827"/>
          <w:sz w:val="19"/>
        </w:rPr>
        <w:t xml:space="preserve">-Zink spaces and the derivative of local representation densities of </w:t>
      </w:r>
      <w:proofErr w:type="spellStart"/>
      <w:r>
        <w:rPr>
          <w:color w:val="111827"/>
          <w:sz w:val="19"/>
        </w:rPr>
        <w:t>hermitian</w:t>
      </w:r>
      <w:proofErr w:type="spellEnd"/>
      <w:r>
        <w:rPr>
          <w:color w:val="111827"/>
          <w:sz w:val="19"/>
        </w:rPr>
        <w:t xml:space="preserve"> forms. This result was proven by C. Li and W. Zhang in 2022 at the </w:t>
      </w:r>
      <w:proofErr w:type="spellStart"/>
      <w:r>
        <w:rPr>
          <w:color w:val="111827"/>
          <w:sz w:val="19"/>
        </w:rPr>
        <w:t>hyperspecial</w:t>
      </w:r>
      <w:proofErr w:type="spellEnd"/>
      <w:r>
        <w:rPr>
          <w:color w:val="111827"/>
          <w:sz w:val="19"/>
        </w:rPr>
        <w:t xml:space="preserve"> level. In this talk, I will discuss and motivate the conjecture and its global </w:t>
      </w:r>
      <w:r>
        <w:rPr>
          <w:color w:val="111827"/>
          <w:sz w:val="19"/>
        </w:rPr>
        <w:t>counterpart. If time permits, I will present a new proof of the conjecture using a global method.</w:t>
      </w:r>
    </w:p>
    <w:p w:rsidR="005C6480" w:rsidRDefault="00703738">
      <w:pPr>
        <w:keepNext/>
        <w:spacing w:before="200" w:after="40"/>
      </w:pPr>
      <w:r>
        <w:rPr>
          <w:b/>
          <w:color w:val="111827"/>
          <w:sz w:val="25"/>
        </w:rPr>
        <w:t xml:space="preserve">3. </w:t>
      </w:r>
      <w:proofErr w:type="spellStart"/>
      <w:r>
        <w:rPr>
          <w:b/>
          <w:color w:val="111827"/>
          <w:sz w:val="25"/>
        </w:rPr>
        <w:t>白瑞祺</w:t>
      </w:r>
      <w:proofErr w:type="spellEnd"/>
      <w:r>
        <w:rPr>
          <w:color w:val="4B5563"/>
        </w:rPr>
        <w:t xml:space="preserve"> | 6</w:t>
      </w:r>
      <w:r>
        <w:rPr>
          <w:color w:val="4B5563"/>
        </w:rPr>
        <w:t>月</w:t>
      </w:r>
      <w:r w:rsidR="003D2723">
        <w:rPr>
          <w:color w:val="4B5563"/>
        </w:rPr>
        <w:t>5</w:t>
      </w:r>
      <w:r>
        <w:rPr>
          <w:color w:val="4B5563"/>
        </w:rPr>
        <w:t>日</w:t>
      </w:r>
      <w:r>
        <w:rPr>
          <w:color w:val="4B5563"/>
        </w:rPr>
        <w:t xml:space="preserve"> </w:t>
      </w:r>
      <w:r>
        <w:rPr>
          <w:color w:val="4B5563"/>
        </w:rPr>
        <w:t>下午</w:t>
      </w:r>
      <w:r>
        <w:rPr>
          <w:rFonts w:hint="eastAsia"/>
          <w:color w:val="4B5563"/>
          <w:lang w:eastAsia="zh-CN"/>
        </w:rPr>
        <w:t>2</w:t>
      </w:r>
      <w:r>
        <w:rPr>
          <w:color w:val="4B5563"/>
        </w:rPr>
        <w:t>:</w:t>
      </w:r>
      <w:r>
        <w:rPr>
          <w:rFonts w:hint="eastAsia"/>
          <w:color w:val="4B5563"/>
          <w:lang w:eastAsia="zh-CN"/>
        </w:rPr>
        <w:t>3</w:t>
      </w:r>
      <w:r>
        <w:rPr>
          <w:color w:val="4B5563"/>
        </w:rPr>
        <w:t>0-</w:t>
      </w:r>
      <w:r>
        <w:rPr>
          <w:rFonts w:hint="eastAsia"/>
          <w:color w:val="4B5563"/>
          <w:lang w:eastAsia="zh-CN"/>
        </w:rPr>
        <w:t>3</w:t>
      </w:r>
      <w:r>
        <w:rPr>
          <w:color w:val="4B5563"/>
        </w:rPr>
        <w:t>:</w:t>
      </w:r>
      <w:r>
        <w:rPr>
          <w:rFonts w:hint="eastAsia"/>
          <w:color w:val="4B5563"/>
          <w:lang w:eastAsia="zh-CN"/>
        </w:rPr>
        <w:t>3</w:t>
      </w:r>
      <w:r>
        <w:rPr>
          <w:color w:val="4B5563"/>
        </w:rPr>
        <w:t>0</w:t>
      </w:r>
    </w:p>
    <w:p w:rsidR="005C6480" w:rsidRDefault="00703738">
      <w:pPr>
        <w:spacing w:after="60"/>
      </w:pPr>
      <w:proofErr w:type="spellStart"/>
      <w:r>
        <w:rPr>
          <w:b/>
          <w:color w:val="374151"/>
        </w:rPr>
        <w:t>所属单位：</w:t>
      </w:r>
      <w:r>
        <w:rPr>
          <w:color w:val="111827"/>
        </w:rPr>
        <w:t>中国科学院晨兴数学中心</w:t>
      </w:r>
      <w:proofErr w:type="spellEnd"/>
      <w:r>
        <w:rPr>
          <w:color w:val="111827"/>
        </w:rPr>
        <w:t xml:space="preserve"> (Morningside Center of Mathematics, Chinese Academy of Sciences)</w:t>
      </w:r>
    </w:p>
    <w:p w:rsidR="005C6480" w:rsidRDefault="00703738">
      <w:pPr>
        <w:spacing w:after="60"/>
      </w:pPr>
      <w:r>
        <w:rPr>
          <w:b/>
          <w:color w:val="374151"/>
        </w:rPr>
        <w:t xml:space="preserve">Title: </w:t>
      </w:r>
      <w:r>
        <w:rPr>
          <w:color w:val="111827"/>
        </w:rPr>
        <w:t>Arithmetic level-raising for U(2r,1) via hi</w:t>
      </w:r>
      <w:r>
        <w:rPr>
          <w:color w:val="111827"/>
        </w:rPr>
        <w:t>gher Chow cycles</w:t>
      </w:r>
    </w:p>
    <w:p w:rsidR="005C6480" w:rsidRDefault="00703738">
      <w:pPr>
        <w:spacing w:after="40"/>
      </w:pPr>
      <w:r>
        <w:rPr>
          <w:b/>
          <w:color w:val="374151"/>
        </w:rPr>
        <w:t>Abstract:</w:t>
      </w:r>
    </w:p>
    <w:p w:rsidR="005C6480" w:rsidRDefault="00703738">
      <w:pPr>
        <w:spacing w:line="259" w:lineRule="auto"/>
        <w:jc w:val="both"/>
      </w:pPr>
      <w:r>
        <w:rPr>
          <w:color w:val="111827"/>
          <w:sz w:val="19"/>
        </w:rPr>
        <w:t xml:space="preserve">Tracing back to </w:t>
      </w:r>
      <w:proofErr w:type="spellStart"/>
      <w:r>
        <w:rPr>
          <w:color w:val="111827"/>
          <w:sz w:val="19"/>
        </w:rPr>
        <w:t>Ribet's</w:t>
      </w:r>
      <w:proofErr w:type="spellEnd"/>
      <w:r>
        <w:rPr>
          <w:color w:val="111827"/>
          <w:sz w:val="19"/>
        </w:rPr>
        <w:t xml:space="preserve"> celebrated level-raising theorem for modular forms, presented at the 1983 ICM, a series of works by recent mathematicians--including Liu-Tian, Liu-Tian-Xiao-Zhang-Zhu, Wang, and others--have shown that one</w:t>
      </w:r>
      <w:r>
        <w:rPr>
          <w:color w:val="111827"/>
          <w:sz w:val="19"/>
        </w:rPr>
        <w:t xml:space="preserve"> can obtain certain level-raising results for automorphic representations by establishing the </w:t>
      </w:r>
      <w:proofErr w:type="spellStart"/>
      <w:r>
        <w:rPr>
          <w:color w:val="111827"/>
          <w:sz w:val="19"/>
        </w:rPr>
        <w:t>surjectivity</w:t>
      </w:r>
      <w:proofErr w:type="spellEnd"/>
      <w:r>
        <w:rPr>
          <w:color w:val="111827"/>
          <w:sz w:val="19"/>
        </w:rPr>
        <w:t xml:space="preserve"> of the cycle class map for Shimura varieties. More precisely, under some generic conditions, cycles arising from the </w:t>
      </w:r>
      <w:proofErr w:type="spellStart"/>
      <w:r>
        <w:rPr>
          <w:color w:val="111827"/>
          <w:sz w:val="19"/>
        </w:rPr>
        <w:t>supersingular</w:t>
      </w:r>
      <w:proofErr w:type="spellEnd"/>
      <w:r>
        <w:rPr>
          <w:color w:val="111827"/>
          <w:sz w:val="19"/>
        </w:rPr>
        <w:t xml:space="preserve"> locus of the mod p</w:t>
      </w:r>
      <w:r>
        <w:rPr>
          <w:color w:val="111827"/>
          <w:sz w:val="19"/>
        </w:rPr>
        <w:t xml:space="preserve"> fiber generate the non-Eisenstein parts of the </w:t>
      </w:r>
      <w:proofErr w:type="spellStart"/>
      <w:r>
        <w:rPr>
          <w:color w:val="111827"/>
          <w:sz w:val="19"/>
        </w:rPr>
        <w:t>cohomology</w:t>
      </w:r>
      <w:proofErr w:type="spellEnd"/>
      <w:r>
        <w:rPr>
          <w:color w:val="111827"/>
          <w:sz w:val="19"/>
        </w:rPr>
        <w:t xml:space="preserve"> of Shimura varieties. Inspired by the work of </w:t>
      </w:r>
      <w:proofErr w:type="spellStart"/>
      <w:r>
        <w:rPr>
          <w:color w:val="111827"/>
          <w:sz w:val="19"/>
        </w:rPr>
        <w:t>Rong</w:t>
      </w:r>
      <w:proofErr w:type="spellEnd"/>
      <w:r>
        <w:rPr>
          <w:color w:val="111827"/>
          <w:sz w:val="19"/>
        </w:rPr>
        <w:t xml:space="preserve"> Zhou, the above philosophy also extends to higher Chow cycles. In this talk, I will focus on the mod p fiber of U(2r,1) Shimura varieties, where p</w:t>
      </w:r>
      <w:r>
        <w:rPr>
          <w:color w:val="111827"/>
          <w:sz w:val="19"/>
        </w:rPr>
        <w:t xml:space="preserve"> is an odd inert prime. We exhibit </w:t>
      </w:r>
      <w:r>
        <w:rPr>
          <w:color w:val="111827"/>
          <w:sz w:val="19"/>
        </w:rPr>
        <w:lastRenderedPageBreak/>
        <w:t xml:space="preserve">higher Chow cycles on the </w:t>
      </w:r>
      <w:proofErr w:type="spellStart"/>
      <w:r>
        <w:rPr>
          <w:color w:val="111827"/>
          <w:sz w:val="19"/>
        </w:rPr>
        <w:t>supersingular</w:t>
      </w:r>
      <w:proofErr w:type="spellEnd"/>
      <w:r>
        <w:rPr>
          <w:color w:val="111827"/>
          <w:sz w:val="19"/>
        </w:rPr>
        <w:t xml:space="preserve"> locus and prove the </w:t>
      </w:r>
      <w:proofErr w:type="spellStart"/>
      <w:r>
        <w:rPr>
          <w:color w:val="111827"/>
          <w:sz w:val="19"/>
        </w:rPr>
        <w:t>surjectivity</w:t>
      </w:r>
      <w:proofErr w:type="spellEnd"/>
      <w:r>
        <w:rPr>
          <w:color w:val="111827"/>
          <w:sz w:val="19"/>
        </w:rPr>
        <w:t xml:space="preserve"> of the cycle class map for the higher Chow group under some generic conditions. A key ingredient of the proof is to establish a strong form of Ihara</w:t>
      </w:r>
      <w:r>
        <w:rPr>
          <w:color w:val="111827"/>
          <w:sz w:val="19"/>
        </w:rPr>
        <w:t xml:space="preserve">'s lemma for unitary groups. This work is joint with </w:t>
      </w:r>
      <w:proofErr w:type="spellStart"/>
      <w:r>
        <w:rPr>
          <w:color w:val="111827"/>
          <w:sz w:val="19"/>
        </w:rPr>
        <w:t>Hao</w:t>
      </w:r>
      <w:proofErr w:type="spellEnd"/>
      <w:r>
        <w:rPr>
          <w:color w:val="111827"/>
          <w:sz w:val="19"/>
        </w:rPr>
        <w:t xml:space="preserve"> Fu.</w:t>
      </w:r>
    </w:p>
    <w:p w:rsidR="005C6480" w:rsidRDefault="00703738">
      <w:pPr>
        <w:keepNext/>
        <w:spacing w:before="200" w:after="40"/>
      </w:pPr>
      <w:r>
        <w:rPr>
          <w:b/>
          <w:color w:val="111827"/>
          <w:sz w:val="25"/>
        </w:rPr>
        <w:t>4. Sean Zhu</w:t>
      </w:r>
      <w:r>
        <w:rPr>
          <w:color w:val="4B5563"/>
        </w:rPr>
        <w:t xml:space="preserve"> | 6</w:t>
      </w:r>
      <w:r>
        <w:rPr>
          <w:color w:val="4B5563"/>
        </w:rPr>
        <w:t>月</w:t>
      </w:r>
      <w:r w:rsidR="003D2723">
        <w:rPr>
          <w:color w:val="4B5563"/>
        </w:rPr>
        <w:t>5</w:t>
      </w:r>
      <w:bookmarkStart w:id="0" w:name="_GoBack"/>
      <w:bookmarkEnd w:id="0"/>
      <w:r>
        <w:rPr>
          <w:color w:val="4B5563"/>
        </w:rPr>
        <w:t>日</w:t>
      </w:r>
      <w:r>
        <w:rPr>
          <w:color w:val="4B5563"/>
        </w:rPr>
        <w:t xml:space="preserve"> </w:t>
      </w:r>
      <w:r>
        <w:rPr>
          <w:color w:val="4B5563"/>
        </w:rPr>
        <w:t>下午</w:t>
      </w:r>
      <w:r>
        <w:rPr>
          <w:rFonts w:hint="eastAsia"/>
          <w:color w:val="4B5563"/>
          <w:lang w:eastAsia="zh-CN"/>
        </w:rPr>
        <w:t>4</w:t>
      </w:r>
      <w:r>
        <w:rPr>
          <w:color w:val="4B5563"/>
        </w:rPr>
        <w:t>:00-</w:t>
      </w:r>
      <w:r>
        <w:rPr>
          <w:rFonts w:hint="eastAsia"/>
          <w:color w:val="4B5563"/>
          <w:lang w:eastAsia="zh-CN"/>
        </w:rPr>
        <w:t>5</w:t>
      </w:r>
      <w:r>
        <w:rPr>
          <w:color w:val="4B5563"/>
        </w:rPr>
        <w:t>:</w:t>
      </w:r>
      <w:r>
        <w:rPr>
          <w:rFonts w:hint="eastAsia"/>
          <w:color w:val="4B5563"/>
          <w:lang w:eastAsia="zh-CN"/>
        </w:rPr>
        <w:t>0</w:t>
      </w:r>
      <w:r>
        <w:rPr>
          <w:color w:val="4B5563"/>
        </w:rPr>
        <w:t>0</w:t>
      </w:r>
    </w:p>
    <w:p w:rsidR="005C6480" w:rsidRDefault="00703738">
      <w:pPr>
        <w:spacing w:after="60"/>
      </w:pPr>
      <w:proofErr w:type="spellStart"/>
      <w:r>
        <w:rPr>
          <w:b/>
          <w:color w:val="374151"/>
        </w:rPr>
        <w:t>所属单位：</w:t>
      </w:r>
      <w:r>
        <w:rPr>
          <w:color w:val="111827"/>
        </w:rPr>
        <w:t>亚利桑那大学数学系</w:t>
      </w:r>
      <w:proofErr w:type="spellEnd"/>
      <w:r>
        <w:rPr>
          <w:color w:val="111827"/>
        </w:rPr>
        <w:t xml:space="preserve"> (Department of Mathematics, The University of Arizona)</w:t>
      </w:r>
    </w:p>
    <w:p w:rsidR="005C6480" w:rsidRDefault="00703738">
      <w:pPr>
        <w:spacing w:after="60"/>
      </w:pPr>
      <w:r>
        <w:rPr>
          <w:b/>
          <w:color w:val="374151"/>
        </w:rPr>
        <w:t xml:space="preserve">Title: </w:t>
      </w:r>
      <w:r>
        <w:rPr>
          <w:color w:val="111827"/>
        </w:rPr>
        <w:t xml:space="preserve">Symmetric Power L-functions for Lower Deformation Families of </w:t>
      </w:r>
      <w:proofErr w:type="spellStart"/>
      <w:r>
        <w:rPr>
          <w:color w:val="111827"/>
        </w:rPr>
        <w:t>Toric</w:t>
      </w:r>
      <w:proofErr w:type="spellEnd"/>
      <w:r>
        <w:rPr>
          <w:color w:val="111827"/>
        </w:rPr>
        <w:t xml:space="preserve"> Exponential Sums</w:t>
      </w:r>
    </w:p>
    <w:p w:rsidR="005C6480" w:rsidRDefault="00703738">
      <w:pPr>
        <w:spacing w:after="40"/>
      </w:pPr>
      <w:r>
        <w:rPr>
          <w:b/>
          <w:color w:val="374151"/>
        </w:rPr>
        <w:t>Abstract:</w:t>
      </w:r>
    </w:p>
    <w:p w:rsidR="005C6480" w:rsidRDefault="00703738">
      <w:pPr>
        <w:spacing w:line="259" w:lineRule="auto"/>
        <w:jc w:val="both"/>
      </w:pPr>
      <w:r>
        <w:rPr>
          <w:color w:val="111827"/>
          <w:sz w:val="19"/>
        </w:rPr>
        <w:t xml:space="preserve">In 1989, </w:t>
      </w:r>
      <w:proofErr w:type="spellStart"/>
      <w:r>
        <w:rPr>
          <w:color w:val="111827"/>
          <w:sz w:val="19"/>
        </w:rPr>
        <w:t>Adolphson</w:t>
      </w:r>
      <w:proofErr w:type="spellEnd"/>
      <w:r>
        <w:rPr>
          <w:color w:val="111827"/>
          <w:sz w:val="19"/>
        </w:rPr>
        <w:t xml:space="preserve"> and </w:t>
      </w:r>
      <w:proofErr w:type="spellStart"/>
      <w:r>
        <w:rPr>
          <w:color w:val="111827"/>
          <w:sz w:val="19"/>
        </w:rPr>
        <w:t>Sperber</w:t>
      </w:r>
      <w:proofErr w:type="spellEnd"/>
      <w:r>
        <w:rPr>
          <w:color w:val="111827"/>
          <w:sz w:val="19"/>
        </w:rPr>
        <w:t xml:space="preserve"> established that for non-degenerate exponential sums, the associated L-function is a polynomial whose precise degree is determined by the volume of its Newton polyhedron. Building on this work, </w:t>
      </w:r>
      <w:proofErr w:type="spellStart"/>
      <w:r>
        <w:rPr>
          <w:color w:val="111827"/>
          <w:sz w:val="19"/>
        </w:rPr>
        <w:t>Haessig</w:t>
      </w:r>
      <w:proofErr w:type="spellEnd"/>
      <w:r>
        <w:rPr>
          <w:color w:val="111827"/>
          <w:sz w:val="19"/>
        </w:rPr>
        <w:t xml:space="preserve"> and </w:t>
      </w:r>
      <w:proofErr w:type="spellStart"/>
      <w:r>
        <w:rPr>
          <w:color w:val="111827"/>
          <w:sz w:val="19"/>
        </w:rPr>
        <w:t>Sperber</w:t>
      </w:r>
      <w:proofErr w:type="spellEnd"/>
      <w:r>
        <w:rPr>
          <w:color w:val="111827"/>
          <w:sz w:val="19"/>
        </w:rPr>
        <w:t xml:space="preserve"> (</w:t>
      </w:r>
      <w:r>
        <w:rPr>
          <w:color w:val="111827"/>
          <w:sz w:val="19"/>
        </w:rPr>
        <w:t xml:space="preserve">2014) developed a framework to analyze arbitrary algebraic families of lower order deformations of non-degenerate </w:t>
      </w:r>
      <w:proofErr w:type="spellStart"/>
      <w:r>
        <w:rPr>
          <w:color w:val="111827"/>
          <w:sz w:val="19"/>
        </w:rPr>
        <w:t>toric</w:t>
      </w:r>
      <w:proofErr w:type="spellEnd"/>
      <w:r>
        <w:rPr>
          <w:color w:val="111827"/>
          <w:sz w:val="19"/>
        </w:rPr>
        <w:t xml:space="preserve"> exponential sums, computing their relative </w:t>
      </w:r>
      <w:proofErr w:type="spellStart"/>
      <w:r>
        <w:rPr>
          <w:color w:val="111827"/>
          <w:sz w:val="19"/>
        </w:rPr>
        <w:t>cohomology</w:t>
      </w:r>
      <w:proofErr w:type="spellEnd"/>
      <w:r>
        <w:rPr>
          <w:color w:val="111827"/>
          <w:sz w:val="19"/>
        </w:rPr>
        <w:t xml:space="preserve"> and establishing sharp estimates for the relative </w:t>
      </w:r>
      <w:proofErr w:type="spellStart"/>
      <w:r>
        <w:rPr>
          <w:color w:val="111827"/>
          <w:sz w:val="19"/>
        </w:rPr>
        <w:t>Frobenius</w:t>
      </w:r>
      <w:proofErr w:type="spellEnd"/>
      <w:r>
        <w:rPr>
          <w:color w:val="111827"/>
          <w:sz w:val="19"/>
        </w:rPr>
        <w:t xml:space="preserve"> map. This talk explore</w:t>
      </w:r>
      <w:r>
        <w:rPr>
          <w:color w:val="111827"/>
          <w:sz w:val="19"/>
        </w:rPr>
        <w:t>s the associated symmetric power L-functions within this framework, detailing their construction and the p-</w:t>
      </w:r>
      <w:proofErr w:type="spellStart"/>
      <w:r>
        <w:rPr>
          <w:color w:val="111827"/>
          <w:sz w:val="19"/>
        </w:rPr>
        <w:t>adic</w:t>
      </w:r>
      <w:proofErr w:type="spellEnd"/>
      <w:r>
        <w:rPr>
          <w:color w:val="111827"/>
          <w:sz w:val="19"/>
        </w:rPr>
        <w:t xml:space="preserve"> </w:t>
      </w:r>
      <w:proofErr w:type="spellStart"/>
      <w:r>
        <w:rPr>
          <w:color w:val="111827"/>
          <w:sz w:val="19"/>
        </w:rPr>
        <w:t>cohomological</w:t>
      </w:r>
      <w:proofErr w:type="spellEnd"/>
      <w:r>
        <w:rPr>
          <w:color w:val="111827"/>
          <w:sz w:val="19"/>
        </w:rPr>
        <w:t xml:space="preserve"> methods that establish the main structural theorems for these families.</w:t>
      </w:r>
    </w:p>
    <w:sectPr w:rsidR="005C6480">
      <w:headerReference w:type="default" r:id="rId7"/>
      <w:footerReference w:type="default" r:id="rId8"/>
      <w:pgSz w:w="11906" w:h="16838"/>
      <w:pgMar w:top="964" w:right="935" w:bottom="964" w:left="935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3738" w:rsidRDefault="00703738">
      <w:pPr>
        <w:spacing w:line="240" w:lineRule="auto"/>
      </w:pPr>
      <w:r>
        <w:separator/>
      </w:r>
    </w:p>
  </w:endnote>
  <w:endnote w:type="continuationSeparator" w:id="0">
    <w:p w:rsidR="00703738" w:rsidRDefault="007037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苹方-简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00"/>
    <w:family w:val="auto"/>
    <w:pitch w:val="default"/>
  </w:font>
  <w:font w:name="Noto Sans CJK SC">
    <w:altName w:val="Times New Roman"/>
    <w:charset w:val="00"/>
    <w:family w:val="auto"/>
    <w:pitch w:val="default"/>
  </w:font>
  <w:font w:name="Calibri">
    <w:altName w:val="Helvetica Neue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00"/>
    <w:family w:val="auto"/>
    <w:pitch w:val="default"/>
  </w:font>
  <w:font w:name="Courier"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6480" w:rsidRDefault="00703738">
    <w:pPr>
      <w:pStyle w:val="ab"/>
      <w:jc w:val="center"/>
    </w:pPr>
    <w:r>
      <w:rPr>
        <w:color w:val="9CA3AF"/>
        <w:sz w:val="18"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3738" w:rsidRDefault="00703738">
      <w:pPr>
        <w:spacing w:after="0"/>
      </w:pPr>
      <w:r>
        <w:separator/>
      </w:r>
    </w:p>
  </w:footnote>
  <w:footnote w:type="continuationSeparator" w:id="0">
    <w:p w:rsidR="00703738" w:rsidRDefault="0070373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6480" w:rsidRDefault="00703738">
    <w:pPr>
      <w:pStyle w:val="ad"/>
      <w:jc w:val="right"/>
      <w:rPr>
        <w:lang w:eastAsia="zh-CN"/>
      </w:rPr>
    </w:pPr>
    <w:r>
      <w:rPr>
        <w:color w:val="6B7280"/>
        <w:sz w:val="17"/>
        <w:lang w:eastAsia="zh-CN"/>
      </w:rPr>
      <w:t>6</w:t>
    </w:r>
    <w:r>
      <w:rPr>
        <w:color w:val="6B7280"/>
        <w:sz w:val="17"/>
        <w:lang w:eastAsia="zh-CN"/>
      </w:rPr>
      <w:t>月</w:t>
    </w:r>
    <w:r>
      <w:rPr>
        <w:color w:val="6B7280"/>
        <w:sz w:val="17"/>
        <w:lang w:eastAsia="zh-CN"/>
      </w:rPr>
      <w:t>6</w:t>
    </w:r>
    <w:r>
      <w:rPr>
        <w:color w:val="6B7280"/>
        <w:sz w:val="17"/>
        <w:lang w:eastAsia="zh-CN"/>
      </w:rPr>
      <w:t>日学术报告</w:t>
    </w:r>
    <w:r>
      <w:rPr>
        <w:color w:val="6B7280"/>
        <w:sz w:val="17"/>
        <w:lang w:eastAsia="zh-CN"/>
      </w:rPr>
      <w:t xml:space="preserve"> | </w:t>
    </w:r>
    <w:r>
      <w:rPr>
        <w:color w:val="6B7280"/>
        <w:sz w:val="17"/>
        <w:lang w:eastAsia="zh-CN"/>
      </w:rPr>
      <w:t>光华楼东主楼</w:t>
    </w:r>
    <w:r>
      <w:rPr>
        <w:color w:val="6B7280"/>
        <w:sz w:val="17"/>
        <w:lang w:eastAsia="zh-CN"/>
      </w:rPr>
      <w:t>1601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FEBEC6C9"/>
    <w:rsid w:val="00034616"/>
    <w:rsid w:val="0006063C"/>
    <w:rsid w:val="0015074B"/>
    <w:rsid w:val="0029639D"/>
    <w:rsid w:val="00301CC1"/>
    <w:rsid w:val="00326F90"/>
    <w:rsid w:val="003D2723"/>
    <w:rsid w:val="005C6480"/>
    <w:rsid w:val="00703738"/>
    <w:rsid w:val="00AA1D8D"/>
    <w:rsid w:val="00B47730"/>
    <w:rsid w:val="00CB0664"/>
    <w:rsid w:val="00CF0A00"/>
    <w:rsid w:val="00FC693F"/>
    <w:rsid w:val="62A2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8DF5AB"/>
  <w14:defaultImageDpi w14:val="300"/>
  <w15:docId w15:val="{5655523A-5AA7-4611-A2AD-7C972CCB5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unhideWhenUsed="1"/>
    <w:lsdException w:name="toa heading" w:semiHidden="1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semiHidden="1" w:unhideWhenUsed="1"/>
    <w:lsdException w:name="List 5" w:semiHidden="1" w:unhideWhenUsed="1"/>
    <w:lsdException w:name="List Bullet 2" w:unhideWhenUsed="1"/>
    <w:lsdException w:name="List Bullet 3" w:unhideWhenUsed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/>
    <w:lsdException w:name="Body Text Indent" w:semiHidden="1" w:unhideWhenUsed="1"/>
    <w:lsdException w:name="List Continue" w:unhideWhenUsed="1"/>
    <w:lsdException w:name="List Continue 2" w:unhideWhenUsed="1"/>
    <w:lsdException w:name="List Continue 3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/>
    <w:lsdException w:name="Body Text 3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spacing w:after="80" w:line="269" w:lineRule="auto"/>
    </w:pPr>
    <w:rPr>
      <w:rFonts w:ascii="Noto Sans CJK SC" w:eastAsia="Noto Sans CJK SC" w:hAnsi="Noto Sans CJK SC"/>
      <w:sz w:val="21"/>
      <w:szCs w:val="22"/>
      <w:lang w:eastAsia="en-US"/>
    </w:rPr>
  </w:style>
  <w:style w:type="paragraph" w:styleId="1">
    <w:name w:val="heading 1"/>
    <w:basedOn w:val="a1"/>
    <w:next w:val="a1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uiPriority w:val="99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  <w:lang w:eastAsia="en-US"/>
    </w:rPr>
  </w:style>
  <w:style w:type="paragraph" w:styleId="33">
    <w:name w:val="List 3"/>
    <w:basedOn w:val="a1"/>
    <w:uiPriority w:val="99"/>
    <w:unhideWhenUsed/>
    <w:pPr>
      <w:ind w:left="1080" w:hanging="360"/>
      <w:contextualSpacing/>
    </w:pPr>
  </w:style>
  <w:style w:type="paragraph" w:styleId="2">
    <w:name w:val="List Number 2"/>
    <w:basedOn w:val="a1"/>
    <w:uiPriority w:val="99"/>
    <w:unhideWhenUsed/>
    <w:pPr>
      <w:numPr>
        <w:numId w:val="1"/>
      </w:numPr>
      <w:contextualSpacing/>
    </w:pPr>
  </w:style>
  <w:style w:type="paragraph" w:styleId="a">
    <w:name w:val="List Number"/>
    <w:basedOn w:val="a1"/>
    <w:uiPriority w:val="99"/>
    <w:unhideWhenUsed/>
    <w:pPr>
      <w:numPr>
        <w:numId w:val="2"/>
      </w:numPr>
      <w:contextualSpacing/>
    </w:pPr>
  </w:style>
  <w:style w:type="paragraph" w:styleId="a7">
    <w:name w:val="caption"/>
    <w:basedOn w:val="a1"/>
    <w:next w:val="a1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0">
    <w:name w:val="List Bullet"/>
    <w:basedOn w:val="a1"/>
    <w:uiPriority w:val="99"/>
    <w:unhideWhenUsed/>
    <w:pPr>
      <w:numPr>
        <w:numId w:val="3"/>
      </w:numPr>
      <w:contextualSpacing/>
    </w:pPr>
  </w:style>
  <w:style w:type="paragraph" w:styleId="34">
    <w:name w:val="Body Text 3"/>
    <w:basedOn w:val="a1"/>
    <w:link w:val="35"/>
    <w:uiPriority w:val="99"/>
    <w:unhideWhenUsed/>
    <w:pPr>
      <w:spacing w:after="120"/>
    </w:pPr>
    <w:rPr>
      <w:sz w:val="16"/>
      <w:szCs w:val="16"/>
    </w:rPr>
  </w:style>
  <w:style w:type="paragraph" w:styleId="30">
    <w:name w:val="List Bullet 3"/>
    <w:basedOn w:val="a1"/>
    <w:uiPriority w:val="99"/>
    <w:unhideWhenUsed/>
    <w:pPr>
      <w:numPr>
        <w:numId w:val="4"/>
      </w:numPr>
      <w:contextualSpacing/>
    </w:pPr>
  </w:style>
  <w:style w:type="paragraph" w:styleId="a8">
    <w:name w:val="Body Text"/>
    <w:basedOn w:val="a1"/>
    <w:link w:val="a9"/>
    <w:uiPriority w:val="99"/>
    <w:unhideWhenUsed/>
    <w:pPr>
      <w:spacing w:after="120"/>
    </w:pPr>
  </w:style>
  <w:style w:type="paragraph" w:styleId="3">
    <w:name w:val="List Number 3"/>
    <w:basedOn w:val="a1"/>
    <w:uiPriority w:val="99"/>
    <w:unhideWhenUsed/>
    <w:pPr>
      <w:numPr>
        <w:numId w:val="5"/>
      </w:numPr>
      <w:contextualSpacing/>
    </w:pPr>
  </w:style>
  <w:style w:type="paragraph" w:styleId="23">
    <w:name w:val="List 2"/>
    <w:basedOn w:val="a1"/>
    <w:uiPriority w:val="99"/>
    <w:unhideWhenUsed/>
    <w:pPr>
      <w:ind w:left="720" w:hanging="360"/>
      <w:contextualSpacing/>
    </w:pPr>
  </w:style>
  <w:style w:type="paragraph" w:styleId="aa">
    <w:name w:val="List Continue"/>
    <w:basedOn w:val="a1"/>
    <w:uiPriority w:val="99"/>
    <w:unhideWhenUsed/>
    <w:pPr>
      <w:spacing w:after="120"/>
      <w:ind w:left="360"/>
      <w:contextualSpacing/>
    </w:pPr>
  </w:style>
  <w:style w:type="paragraph" w:styleId="20">
    <w:name w:val="List Bullet 2"/>
    <w:basedOn w:val="a1"/>
    <w:uiPriority w:val="99"/>
    <w:unhideWhenUsed/>
    <w:pPr>
      <w:numPr>
        <w:numId w:val="6"/>
      </w:numPr>
      <w:contextualSpacing/>
    </w:pPr>
  </w:style>
  <w:style w:type="paragraph" w:styleId="ab">
    <w:name w:val="footer"/>
    <w:basedOn w:val="a1"/>
    <w:link w:val="ac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d">
    <w:name w:val="header"/>
    <w:basedOn w:val="a1"/>
    <w:link w:val="ae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f">
    <w:name w:val="Subtitle"/>
    <w:basedOn w:val="a1"/>
    <w:next w:val="a1"/>
    <w:link w:val="af0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1">
    <w:name w:val="List"/>
    <w:basedOn w:val="a1"/>
    <w:uiPriority w:val="99"/>
    <w:unhideWhenUsed/>
    <w:pPr>
      <w:ind w:left="360" w:hanging="360"/>
      <w:contextualSpacing/>
    </w:pPr>
  </w:style>
  <w:style w:type="paragraph" w:styleId="24">
    <w:name w:val="Body Text 2"/>
    <w:basedOn w:val="a1"/>
    <w:link w:val="25"/>
    <w:uiPriority w:val="99"/>
    <w:unhideWhenUsed/>
    <w:pPr>
      <w:spacing w:after="120" w:line="480" w:lineRule="auto"/>
    </w:pPr>
  </w:style>
  <w:style w:type="paragraph" w:styleId="26">
    <w:name w:val="List Continue 2"/>
    <w:basedOn w:val="a1"/>
    <w:uiPriority w:val="99"/>
    <w:unhideWhenUsed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pPr>
      <w:spacing w:after="120"/>
      <w:ind w:left="1080"/>
      <w:contextualSpacing/>
    </w:pPr>
  </w:style>
  <w:style w:type="paragraph" w:styleId="af2">
    <w:name w:val="Title"/>
    <w:basedOn w:val="a1"/>
    <w:next w:val="a1"/>
    <w:link w:val="af3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f4">
    <w:name w:val="Table Grid"/>
    <w:basedOn w:val="a3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5">
    <w:name w:val="Light Shading"/>
    <w:basedOn w:val="a3"/>
    <w:uiPriority w:val="60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Pr>
      <w:color w:val="943634" w:themeColor="accent2" w:themeShade="BF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Pr>
      <w:color w:val="7692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Pr>
      <w:color w:val="5F497A" w:themeColor="accent4" w:themeShade="BF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Pr>
      <w:color w:val="E36C0A" w:themeColor="accent6" w:themeShade="BF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6">
    <w:name w:val="Light List"/>
    <w:basedOn w:val="a3"/>
    <w:uiPriority w:val="61"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7">
    <w:name w:val="Light Grid"/>
    <w:basedOn w:val="a3"/>
    <w:uiPriority w:val="62"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-11">
    <w:name w:val="Light Grid Accent 1"/>
    <w:basedOn w:val="a3"/>
    <w:uiPriority w:val="62"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-21">
    <w:name w:val="Light Grid Accent 2"/>
    <w:basedOn w:val="a3"/>
    <w:uiPriority w:val="62"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-31">
    <w:name w:val="Light Grid Accent 3"/>
    <w:basedOn w:val="a3"/>
    <w:uiPriority w:val="62"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-41">
    <w:name w:val="Light Grid Accent 4"/>
    <w:basedOn w:val="a3"/>
    <w:uiPriority w:val="62"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-51">
    <w:name w:val="Light Grid Accent 5"/>
    <w:basedOn w:val="a3"/>
    <w:uiPriority w:val="62"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-61">
    <w:name w:val="Light Grid Accent 6"/>
    <w:basedOn w:val="a3"/>
    <w:uiPriority w:val="62"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11">
    <w:name w:val="Medium Shading 1"/>
    <w:basedOn w:val="a3"/>
    <w:uiPriority w:val="63"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Pr>
      <w:color w:val="000000" w:themeColor="text1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Pr>
      <w:color w:val="000000" w:themeColor="text1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Pr>
      <w:color w:val="000000" w:themeColor="text1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Pr>
      <w:color w:val="000000" w:themeColor="text1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Pr>
      <w:color w:val="000000" w:themeColor="text1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Pr>
      <w:color w:val="000000" w:themeColor="text1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af8">
    <w:name w:val="Dark List"/>
    <w:basedOn w:val="a3"/>
    <w:uiPriority w:val="70"/>
    <w:rPr>
      <w:color w:val="FFFFFF" w:themeColor="background1"/>
    </w:rPr>
    <w:tblPr/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Pr>
      <w:color w:val="FFFFFF" w:themeColor="background1"/>
    </w:rPr>
    <w:tblPr/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Pr>
      <w:color w:val="FFFFFF" w:themeColor="background1"/>
    </w:rPr>
    <w:tblPr/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Pr>
      <w:color w:val="FFFFFF" w:themeColor="background1"/>
    </w:rPr>
    <w:tblPr/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Pr>
      <w:color w:val="FFFFFF" w:themeColor="background1"/>
    </w:rPr>
    <w:tblPr/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Pr>
      <w:color w:val="FFFFFF" w:themeColor="background1"/>
    </w:rPr>
    <w:tblPr/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Pr>
      <w:color w:val="FFFFFF" w:themeColor="background1"/>
    </w:rPr>
    <w:tblPr/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9">
    <w:name w:val="Colorful Shading"/>
    <w:basedOn w:val="a3"/>
    <w:uiPriority w:val="71"/>
    <w:rPr>
      <w:color w:val="000000" w:themeColor="text1"/>
    </w:rPr>
    <w:tblPr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Pr>
      <w:color w:val="000000" w:themeColor="text1"/>
    </w:rPr>
    <w:tblPr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Pr>
      <w:color w:val="000000" w:themeColor="text1"/>
    </w:rPr>
    <w:tblPr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Pr>
      <w:color w:val="000000" w:themeColor="text1"/>
    </w:rPr>
    <w:tblPr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Pr>
      <w:color w:val="000000" w:themeColor="text1"/>
    </w:rPr>
    <w:tblPr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Pr>
      <w:color w:val="000000" w:themeColor="text1"/>
    </w:rPr>
    <w:tblPr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Pr>
      <w:color w:val="000000" w:themeColor="text1"/>
    </w:rPr>
    <w:tblPr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a">
    <w:name w:val="Colorful List"/>
    <w:basedOn w:val="a3"/>
    <w:uiPriority w:val="72"/>
    <w:rPr>
      <w:color w:val="000000" w:themeColor="text1"/>
    </w:rPr>
    <w:tblPr/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Pr>
      <w:color w:val="000000" w:themeColor="text1"/>
    </w:rPr>
    <w:tblPr/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Pr>
      <w:color w:val="000000" w:themeColor="text1"/>
    </w:rPr>
    <w:tblPr/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Pr>
      <w:color w:val="000000" w:themeColor="text1"/>
    </w:rPr>
    <w:tblPr/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Pr>
      <w:color w:val="000000" w:themeColor="text1"/>
    </w:rPr>
    <w:tblPr/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Pr>
      <w:color w:val="000000" w:themeColor="text1"/>
    </w:rPr>
    <w:tblPr/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Pr>
      <w:color w:val="000000" w:themeColor="text1"/>
    </w:rPr>
    <w:tblPr/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b">
    <w:name w:val="Colorful Grid"/>
    <w:basedOn w:val="a3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c">
    <w:name w:val="Strong"/>
    <w:basedOn w:val="a2"/>
    <w:uiPriority w:val="22"/>
    <w:qFormat/>
    <w:rPr>
      <w:b/>
      <w:bCs/>
    </w:rPr>
  </w:style>
  <w:style w:type="character" w:styleId="afd">
    <w:name w:val="Emphasis"/>
    <w:basedOn w:val="a2"/>
    <w:uiPriority w:val="20"/>
    <w:qFormat/>
    <w:rPr>
      <w:i/>
      <w:iCs/>
    </w:rPr>
  </w:style>
  <w:style w:type="character" w:customStyle="1" w:styleId="ae">
    <w:name w:val="页眉 字符"/>
    <w:basedOn w:val="a2"/>
    <w:link w:val="ad"/>
    <w:uiPriority w:val="99"/>
  </w:style>
  <w:style w:type="character" w:customStyle="1" w:styleId="ac">
    <w:name w:val="页脚 字符"/>
    <w:basedOn w:val="a2"/>
    <w:link w:val="ab"/>
    <w:uiPriority w:val="99"/>
  </w:style>
  <w:style w:type="paragraph" w:styleId="afe">
    <w:name w:val="No Spacing"/>
    <w:uiPriority w:val="1"/>
    <w:qFormat/>
    <w:rPr>
      <w:sz w:val="22"/>
      <w:szCs w:val="22"/>
      <w:lang w:eastAsia="en-US"/>
    </w:rPr>
  </w:style>
  <w:style w:type="character" w:customStyle="1" w:styleId="10">
    <w:name w:val="标题 1 字符"/>
    <w:basedOn w:val="a2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f3">
    <w:name w:val="标题 字符"/>
    <w:basedOn w:val="a2"/>
    <w:link w:val="af2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0">
    <w:name w:val="副标题 字符"/>
    <w:basedOn w:val="a2"/>
    <w:link w:val="af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f">
    <w:name w:val="List Paragraph"/>
    <w:basedOn w:val="a1"/>
    <w:uiPriority w:val="34"/>
    <w:qFormat/>
    <w:pPr>
      <w:ind w:left="720"/>
      <w:contextualSpacing/>
    </w:pPr>
  </w:style>
  <w:style w:type="character" w:customStyle="1" w:styleId="a9">
    <w:name w:val="正文文本 字符"/>
    <w:basedOn w:val="a2"/>
    <w:link w:val="a8"/>
    <w:uiPriority w:val="99"/>
  </w:style>
  <w:style w:type="character" w:customStyle="1" w:styleId="25">
    <w:name w:val="正文文本 2 字符"/>
    <w:basedOn w:val="a2"/>
    <w:link w:val="24"/>
    <w:uiPriority w:val="99"/>
  </w:style>
  <w:style w:type="character" w:customStyle="1" w:styleId="35">
    <w:name w:val="正文文本 3 字符"/>
    <w:basedOn w:val="a2"/>
    <w:link w:val="34"/>
    <w:uiPriority w:val="99"/>
    <w:rPr>
      <w:sz w:val="16"/>
      <w:szCs w:val="16"/>
    </w:rPr>
  </w:style>
  <w:style w:type="character" w:customStyle="1" w:styleId="a6">
    <w:name w:val="宏文本 字符"/>
    <w:basedOn w:val="a2"/>
    <w:link w:val="a5"/>
    <w:uiPriority w:val="99"/>
    <w:rPr>
      <w:rFonts w:ascii="Courier" w:hAnsi="Courier"/>
      <w:sz w:val="20"/>
      <w:szCs w:val="20"/>
    </w:rPr>
  </w:style>
  <w:style w:type="paragraph" w:styleId="aff0">
    <w:name w:val="Quote"/>
    <w:basedOn w:val="a1"/>
    <w:next w:val="a1"/>
    <w:link w:val="aff1"/>
    <w:uiPriority w:val="29"/>
    <w:qFormat/>
    <w:rPr>
      <w:i/>
      <w:iCs/>
      <w:color w:val="000000" w:themeColor="text1"/>
    </w:rPr>
  </w:style>
  <w:style w:type="character" w:customStyle="1" w:styleId="aff1">
    <w:name w:val="引用 字符"/>
    <w:basedOn w:val="a2"/>
    <w:link w:val="aff0"/>
    <w:uiPriority w:val="29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60">
    <w:name w:val="标题 6 字符"/>
    <w:basedOn w:val="a2"/>
    <w:link w:val="6"/>
    <w:uiPriority w:val="9"/>
    <w:semiHidden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70">
    <w:name w:val="标题 7 字符"/>
    <w:basedOn w:val="a2"/>
    <w:link w:val="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f2">
    <w:name w:val="Intense Quote"/>
    <w:basedOn w:val="a1"/>
    <w:next w:val="a1"/>
    <w:link w:val="aff3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3">
    <w:name w:val="明显引用 字符"/>
    <w:basedOn w:val="a2"/>
    <w:link w:val="aff2"/>
    <w:uiPriority w:val="30"/>
    <w:rPr>
      <w:b/>
      <w:bCs/>
      <w:i/>
      <w:iCs/>
      <w:color w:val="4F81BD" w:themeColor="accent1"/>
    </w:rPr>
  </w:style>
  <w:style w:type="character" w:customStyle="1" w:styleId="14">
    <w:name w:val="不明显强调1"/>
    <w:basedOn w:val="a2"/>
    <w:uiPriority w:val="19"/>
    <w:qFormat/>
    <w:rPr>
      <w:i/>
      <w:iCs/>
      <w:color w:val="7F7F7F" w:themeColor="text1" w:themeTint="80"/>
    </w:rPr>
  </w:style>
  <w:style w:type="character" w:customStyle="1" w:styleId="15">
    <w:name w:val="明显强调1"/>
    <w:basedOn w:val="a2"/>
    <w:uiPriority w:val="21"/>
    <w:qFormat/>
    <w:rPr>
      <w:b/>
      <w:bCs/>
      <w:i/>
      <w:iCs/>
      <w:color w:val="4F81BD" w:themeColor="accent1"/>
    </w:rPr>
  </w:style>
  <w:style w:type="character" w:customStyle="1" w:styleId="16">
    <w:name w:val="不明显参考1"/>
    <w:basedOn w:val="a2"/>
    <w:uiPriority w:val="31"/>
    <w:qFormat/>
    <w:rPr>
      <w:smallCaps/>
      <w:color w:val="C0504D" w:themeColor="accent2"/>
      <w:u w:val="single"/>
    </w:rPr>
  </w:style>
  <w:style w:type="character" w:customStyle="1" w:styleId="17">
    <w:name w:val="明显参考1"/>
    <w:basedOn w:val="a2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18">
    <w:name w:val="书籍标题1"/>
    <w:basedOn w:val="a2"/>
    <w:uiPriority w:val="33"/>
    <w:qFormat/>
    <w:rPr>
      <w:b/>
      <w:bCs/>
      <w:smallCaps/>
      <w:spacing w:val="5"/>
    </w:rPr>
  </w:style>
  <w:style w:type="paragraph" w:customStyle="1" w:styleId="TOC1">
    <w:name w:val="TOC 标题1"/>
    <w:basedOn w:val="1"/>
    <w:next w:val="a1"/>
    <w:uiPriority w:val="39"/>
    <w:semiHidden/>
    <w:unhideWhenUsed/>
    <w:qFormat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601</Words>
  <Characters>3431</Characters>
  <Application>Microsoft Office Word</Application>
  <DocSecurity>0</DocSecurity>
  <Lines>28</Lines>
  <Paragraphs>8</Paragraphs>
  <ScaleCrop>false</ScaleCrop>
  <Company>China</Company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User</cp:lastModifiedBy>
  <cp:revision>7</cp:revision>
  <dcterms:created xsi:type="dcterms:W3CDTF">2013-12-24T07:15:00Z</dcterms:created>
  <dcterms:modified xsi:type="dcterms:W3CDTF">2026-06-01T01:10:00Z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2052-6.2.0.8299</vt:lpwstr>
  </property>
  <property fmtid="{D5CDD505-2E9C-101B-9397-08002B2CF9AE}" pid="3" name="ICV">
    <vt:lpwstr>983F85F188CFD54EE067196A93555B90_42</vt:lpwstr>
  </property>
</Properties>
</file>